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A324E">
        <w:fldChar w:fldCharType="begin"/>
      </w:r>
      <w:r w:rsidR="008A324E">
        <w:instrText xml:space="preserve"> HYPERLINK "https://biosharing.org/" \t "_blank" </w:instrText>
      </w:r>
      <w:r w:rsidR="008A324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A324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C0EB901" w14:textId="022AFA05" w:rsidR="002553C2" w:rsidRDefault="00FA575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/>
        </w:rPr>
      </w:pPr>
      <w:r>
        <w:rPr>
          <w:rFonts w:ascii="Calibri"/>
        </w:rPr>
        <w:t>W</w:t>
      </w:r>
      <w:r w:rsidR="001B0972">
        <w:rPr>
          <w:rFonts w:ascii="Calibri"/>
        </w:rPr>
        <w:t>e performed a Group Sequential Design</w:t>
      </w:r>
      <w:r>
        <w:rPr>
          <w:rFonts w:ascii="Calibri"/>
        </w:rPr>
        <w:t xml:space="preserve">. The sample size (n=4 animals </w:t>
      </w:r>
      <w:r w:rsidR="002553C2">
        <w:rPr>
          <w:rFonts w:ascii="Calibri"/>
        </w:rPr>
        <w:t>in</w:t>
      </w:r>
      <w:r>
        <w:rPr>
          <w:rFonts w:ascii="Calibri"/>
        </w:rPr>
        <w:t xml:space="preserve"> </w:t>
      </w:r>
      <w:r w:rsidR="002553C2">
        <w:rPr>
          <w:rFonts w:ascii="Calibri"/>
        </w:rPr>
        <w:t>each group</w:t>
      </w:r>
      <w:r>
        <w:rPr>
          <w:rFonts w:ascii="Calibri"/>
        </w:rPr>
        <w:t xml:space="preserve"> </w:t>
      </w:r>
      <w:r w:rsidR="002553C2">
        <w:rPr>
          <w:rFonts w:ascii="Calibri"/>
        </w:rPr>
        <w:t xml:space="preserve">and </w:t>
      </w:r>
      <w:r>
        <w:rPr>
          <w:rFonts w:ascii="Calibri"/>
        </w:rPr>
        <w:t xml:space="preserve">n&gt;100 synapses per animal) was </w:t>
      </w:r>
      <w:r w:rsidR="002553C2">
        <w:rPr>
          <w:rFonts w:ascii="Calibri"/>
        </w:rPr>
        <w:t>motivated by</w:t>
      </w:r>
      <w:r>
        <w:rPr>
          <w:rFonts w:ascii="Calibri"/>
        </w:rPr>
        <w:t xml:space="preserve"> our choice of using linear m</w:t>
      </w:r>
      <w:r w:rsidR="002553C2">
        <w:rPr>
          <w:rFonts w:ascii="Calibri"/>
        </w:rPr>
        <w:t>ixed effects models for significance testing</w:t>
      </w:r>
      <w:r>
        <w:rPr>
          <w:rFonts w:ascii="Calibri"/>
        </w:rPr>
        <w:t xml:space="preserve">. </w:t>
      </w:r>
      <w:r w:rsidR="00A323A5">
        <w:rPr>
          <w:rFonts w:ascii="Calibri"/>
        </w:rPr>
        <w:t>Note that our</w:t>
      </w:r>
      <w:r w:rsidR="002553C2">
        <w:rPr>
          <w:rFonts w:ascii="Calibri"/>
        </w:rPr>
        <w:t xml:space="preserve"> sample size is larger than </w:t>
      </w:r>
      <w:r w:rsidR="00A323A5">
        <w:rPr>
          <w:rFonts w:ascii="Calibri"/>
        </w:rPr>
        <w:t xml:space="preserve">that </w:t>
      </w:r>
      <w:r w:rsidR="002553C2">
        <w:rPr>
          <w:rFonts w:ascii="Calibri"/>
        </w:rPr>
        <w:t>in many electron microscopy investigations (where typically 1-3 animals are used per group). To perform a population-level analysis, we performed a biological replicate of one of the group (ISO group).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7D56318" w14:textId="5F0F54E1" w:rsidR="001B0972" w:rsidRDefault="00D00E5E" w:rsidP="001B097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/>
        </w:rPr>
      </w:pPr>
      <w:r>
        <w:rPr>
          <w:rFonts w:ascii="Calibri"/>
        </w:rPr>
        <w:t>Eac</w:t>
      </w:r>
      <w:r w:rsidR="00A323A5">
        <w:rPr>
          <w:rFonts w:ascii="Calibri"/>
        </w:rPr>
        <w:t>h group contained four animals. For</w:t>
      </w:r>
      <w:r>
        <w:rPr>
          <w:rFonts w:ascii="Calibri"/>
        </w:rPr>
        <w:t xml:space="preserve"> the ISO group</w:t>
      </w:r>
      <w:r w:rsidR="00A323A5">
        <w:rPr>
          <w:rFonts w:ascii="Calibri"/>
        </w:rPr>
        <w:t>,</w:t>
      </w:r>
      <w:r>
        <w:rPr>
          <w:rFonts w:ascii="Calibri"/>
        </w:rPr>
        <w:t xml:space="preserve"> we performed a biological replicate</w:t>
      </w:r>
      <w:r w:rsidR="00A323A5">
        <w:rPr>
          <w:rFonts w:ascii="Calibri"/>
        </w:rPr>
        <w:t xml:space="preserve"> (ISO60 group)</w:t>
      </w:r>
      <w:r>
        <w:rPr>
          <w:rFonts w:ascii="Calibri"/>
        </w:rPr>
        <w:t xml:space="preserve">. </w:t>
      </w:r>
      <w:r w:rsidR="00A323A5">
        <w:rPr>
          <w:rFonts w:ascii="Calibri"/>
        </w:rPr>
        <w:t>We did not perform technical replicates.</w:t>
      </w:r>
      <w:r w:rsidR="00A323A5" w:rsidRPr="00A323A5">
        <w:rPr>
          <w:rFonts w:ascii="Calibri"/>
        </w:rPr>
        <w:t xml:space="preserve"> </w:t>
      </w:r>
      <w:r w:rsidR="00A323A5">
        <w:rPr>
          <w:rFonts w:ascii="Calibri"/>
        </w:rPr>
        <w:t>We provide access to all data and did not remove any outliers. In</w:t>
      </w:r>
      <w:r>
        <w:rPr>
          <w:rFonts w:ascii="Calibri"/>
        </w:rPr>
        <w:t xml:space="preserve"> the </w:t>
      </w:r>
      <w:r w:rsidR="00A323A5">
        <w:rPr>
          <w:rFonts w:ascii="Calibri"/>
        </w:rPr>
        <w:t xml:space="preserve">Section </w:t>
      </w:r>
      <w:r w:rsidR="00A323A5" w:rsidRPr="00A323A5">
        <w:rPr>
          <w:rFonts w:ascii="Calibri"/>
        </w:rPr>
        <w:t>FIBSEM Synapse Segmentation</w:t>
      </w:r>
      <w:r w:rsidR="00A323A5">
        <w:rPr>
          <w:rFonts w:ascii="Calibri"/>
        </w:rPr>
        <w:t>,</w:t>
      </w:r>
      <w:r w:rsidR="001B0972">
        <w:rPr>
          <w:rFonts w:ascii="Calibri"/>
        </w:rPr>
        <w:t xml:space="preserve"> </w:t>
      </w:r>
      <w:r>
        <w:rPr>
          <w:rFonts w:ascii="Calibri"/>
        </w:rPr>
        <w:t xml:space="preserve">we excluded </w:t>
      </w:r>
      <w:r w:rsidR="001B0972">
        <w:rPr>
          <w:rFonts w:ascii="Calibri"/>
        </w:rPr>
        <w:t>o</w:t>
      </w:r>
      <w:r>
        <w:rPr>
          <w:rFonts w:ascii="Calibri"/>
        </w:rPr>
        <w:t xml:space="preserve">bjects smaller than 1000 voxels, because </w:t>
      </w:r>
      <w:r w:rsidR="001B0972">
        <w:rPr>
          <w:rFonts w:ascii="Calibri"/>
        </w:rPr>
        <w:t xml:space="preserve">they were too small to be synapses. </w:t>
      </w:r>
    </w:p>
    <w:p w14:paraId="3974E049" w14:textId="77777777" w:rsidR="00185FE3" w:rsidRDefault="00185FE3" w:rsidP="001B097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E3804E" w:rsidR="0015519A" w:rsidRDefault="000C61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the synapse data, we did a linear mixed-effect </w:t>
      </w:r>
      <w:r w:rsidR="00A14253">
        <w:rPr>
          <w:rFonts w:asciiTheme="minorHAnsi" w:hAnsiTheme="minorHAnsi"/>
          <w:sz w:val="22"/>
          <w:szCs w:val="22"/>
        </w:rPr>
        <w:t>analysis, because</w:t>
      </w:r>
      <w:r>
        <w:rPr>
          <w:rFonts w:asciiTheme="minorHAnsi" w:hAnsiTheme="minorHAnsi"/>
          <w:sz w:val="22"/>
          <w:szCs w:val="22"/>
        </w:rPr>
        <w:t xml:space="preserve"> our data </w:t>
      </w:r>
      <w:r w:rsidR="00A14253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non-independent and hierarchical (sections per bird in a given group compared to other groups). For estimation of percent symmetric synapses, we did </w:t>
      </w:r>
      <w:r w:rsidR="00E51217">
        <w:rPr>
          <w:rFonts w:asciiTheme="minorHAnsi" w:hAnsiTheme="minorHAnsi"/>
          <w:sz w:val="22"/>
          <w:szCs w:val="22"/>
        </w:rPr>
        <w:t>both 1) a linear mixed-eff</w:t>
      </w:r>
      <w:r w:rsidR="00BE3568">
        <w:rPr>
          <w:rFonts w:asciiTheme="minorHAnsi" w:hAnsiTheme="minorHAnsi"/>
          <w:sz w:val="22"/>
          <w:szCs w:val="22"/>
        </w:rPr>
        <w:t xml:space="preserve">ect analysis by grouping the </w:t>
      </w:r>
      <w:proofErr w:type="spellStart"/>
      <w:r w:rsidR="00BE3568">
        <w:rPr>
          <w:rFonts w:asciiTheme="minorHAnsi" w:hAnsiTheme="minorHAnsi"/>
          <w:sz w:val="22"/>
          <w:szCs w:val="22"/>
        </w:rPr>
        <w:t>di</w:t>
      </w:r>
      <w:r w:rsidR="00E51217">
        <w:rPr>
          <w:rFonts w:asciiTheme="minorHAnsi" w:hAnsiTheme="minorHAnsi"/>
          <w:sz w:val="22"/>
          <w:szCs w:val="22"/>
        </w:rPr>
        <w:t>sectors</w:t>
      </w:r>
      <w:proofErr w:type="spellEnd"/>
      <w:r w:rsidR="00E51217">
        <w:rPr>
          <w:rFonts w:asciiTheme="minorHAnsi" w:hAnsiTheme="minorHAnsi"/>
          <w:sz w:val="22"/>
          <w:szCs w:val="22"/>
        </w:rPr>
        <w:t xml:space="preserve"> into 4 non-overlapping groups and 2) </w:t>
      </w:r>
      <w:r>
        <w:rPr>
          <w:rFonts w:asciiTheme="minorHAnsi" w:hAnsiTheme="minorHAnsi"/>
          <w:sz w:val="22"/>
          <w:szCs w:val="22"/>
        </w:rPr>
        <w:t>a jackknife resampling pr</w:t>
      </w:r>
      <w:r w:rsidR="00E51217">
        <w:rPr>
          <w:rFonts w:asciiTheme="minorHAnsi" w:hAnsiTheme="minorHAnsi"/>
          <w:sz w:val="22"/>
          <w:szCs w:val="22"/>
        </w:rPr>
        <w:t>ocedure (</w:t>
      </w:r>
      <w:r w:rsidR="00BE3568">
        <w:rPr>
          <w:rFonts w:asciiTheme="minorHAnsi" w:hAnsiTheme="minorHAnsi"/>
          <w:sz w:val="22"/>
          <w:szCs w:val="22"/>
        </w:rPr>
        <w:t xml:space="preserve">because many </w:t>
      </w:r>
      <w:proofErr w:type="spellStart"/>
      <w:r w:rsidR="00BE3568">
        <w:rPr>
          <w:rFonts w:asciiTheme="minorHAnsi" w:hAnsiTheme="minorHAnsi"/>
          <w:sz w:val="22"/>
          <w:szCs w:val="22"/>
        </w:rPr>
        <w:t>di</w:t>
      </w:r>
      <w:r w:rsidRPr="000C6198">
        <w:rPr>
          <w:rFonts w:asciiTheme="minorHAnsi" w:hAnsiTheme="minorHAnsi"/>
          <w:sz w:val="22"/>
          <w:szCs w:val="22"/>
        </w:rPr>
        <w:t>sectors</w:t>
      </w:r>
      <w:proofErr w:type="spellEnd"/>
      <w:r w:rsidRPr="000C6198">
        <w:rPr>
          <w:rFonts w:asciiTheme="minorHAnsi" w:hAnsiTheme="minorHAnsi"/>
          <w:sz w:val="22"/>
          <w:szCs w:val="22"/>
        </w:rPr>
        <w:t xml:space="preserve"> contained no dissected synapses</w:t>
      </w:r>
      <w:r w:rsidR="00E51217">
        <w:rPr>
          <w:rFonts w:asciiTheme="minorHAnsi" w:hAnsiTheme="minorHAnsi"/>
          <w:sz w:val="22"/>
          <w:szCs w:val="22"/>
        </w:rPr>
        <w:t>)</w:t>
      </w:r>
      <w:r w:rsidR="00185FE3">
        <w:rPr>
          <w:rFonts w:asciiTheme="minorHAnsi" w:hAnsiTheme="minorHAnsi"/>
          <w:sz w:val="22"/>
          <w:szCs w:val="22"/>
        </w:rPr>
        <w:t xml:space="preserve"> f</w:t>
      </w:r>
      <w:r>
        <w:rPr>
          <w:rFonts w:asciiTheme="minorHAnsi" w:hAnsiTheme="minorHAnsi"/>
          <w:sz w:val="22"/>
          <w:szCs w:val="22"/>
        </w:rPr>
        <w:t>ollowed b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y a bootstrapping procedure</w:t>
      </w:r>
      <w:r w:rsidR="00E51217">
        <w:rPr>
          <w:rFonts w:asciiTheme="minorHAnsi" w:hAnsiTheme="minorHAnsi"/>
          <w:sz w:val="22"/>
          <w:szCs w:val="22"/>
        </w:rPr>
        <w:t>. Both approaches yielded similarly high statistical significance.</w:t>
      </w:r>
    </w:p>
    <w:p w14:paraId="15273F75" w14:textId="77777777" w:rsidR="000C6198" w:rsidRDefault="000C61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29778D21" w:rsidR="0015519A" w:rsidRDefault="000C6198" w:rsidP="000C619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each group, we show the means</w:t>
      </w:r>
      <w:r w:rsidRPr="000C6198">
        <w:rPr>
          <w:rFonts w:asciiTheme="minorHAnsi" w:hAnsiTheme="minorHAnsi"/>
          <w:sz w:val="22"/>
          <w:szCs w:val="22"/>
        </w:rPr>
        <w:t xml:space="preserve"> in individual birds ± the standard deviations.</w:t>
      </w:r>
    </w:p>
    <w:p w14:paraId="40C71A1C" w14:textId="77777777" w:rsidR="00185FE3" w:rsidRDefault="00185FE3" w:rsidP="000C619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A6DE641" w14:textId="57FD5CC4" w:rsidR="000C6198" w:rsidRDefault="00185FE3" w:rsidP="000C619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exact p value was given in all cases, except in the Synapse size section.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219F23" w:rsidR="00BC3CCE" w:rsidRPr="00505C51" w:rsidRDefault="00185F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wrote in Experimental procedures, “t</w:t>
      </w:r>
      <w:r w:rsidRPr="00185FE3">
        <w:rPr>
          <w:rFonts w:asciiTheme="minorHAnsi" w:hAnsiTheme="minorHAnsi"/>
          <w:sz w:val="22"/>
          <w:szCs w:val="22"/>
        </w:rPr>
        <w:t>o avoid human biases, we coded all birds with numeric identifiers and performed all analyses in a manner that was blind to bird identity and treatment group.</w:t>
      </w:r>
      <w:r>
        <w:rPr>
          <w:rFonts w:asciiTheme="minorHAnsi" w:hAnsiTheme="minorHAnsi"/>
          <w:sz w:val="22"/>
          <w:szCs w:val="22"/>
        </w:rPr>
        <w:t>”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0CA2D2FF" w14:textId="6B9534A1" w:rsidR="001B2F71" w:rsidRDefault="00FC34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all SSEM synapse</w:t>
      </w:r>
      <w:r w:rsidR="00F17043">
        <w:rPr>
          <w:rFonts w:asciiTheme="minorHAnsi" w:hAnsiTheme="minorHAnsi"/>
          <w:sz w:val="22"/>
          <w:szCs w:val="22"/>
        </w:rPr>
        <w:t xml:space="preserve"> density data for Experiments I and II in the </w:t>
      </w:r>
      <w:proofErr w:type="spellStart"/>
      <w:r w:rsidR="00F17043">
        <w:rPr>
          <w:rFonts w:asciiTheme="minorHAnsi" w:hAnsiTheme="minorHAnsi"/>
          <w:sz w:val="22"/>
          <w:szCs w:val="22"/>
        </w:rPr>
        <w:t>Matlab</w:t>
      </w:r>
      <w:proofErr w:type="spellEnd"/>
      <w:r w:rsidR="00F17043">
        <w:rPr>
          <w:rFonts w:asciiTheme="minorHAnsi" w:hAnsiTheme="minorHAnsi"/>
          <w:sz w:val="22"/>
          <w:szCs w:val="22"/>
        </w:rPr>
        <w:t xml:space="preserve"> file </w:t>
      </w:r>
      <w:r w:rsidR="00F17043" w:rsidRPr="00F17043">
        <w:rPr>
          <w:rFonts w:asciiTheme="minorHAnsi" w:hAnsiTheme="minorHAnsi"/>
          <w:sz w:val="22"/>
          <w:szCs w:val="22"/>
        </w:rPr>
        <w:t>ssSEM_exp1and2_groupSeperated</w:t>
      </w:r>
      <w:r w:rsidR="00F17043">
        <w:rPr>
          <w:rFonts w:asciiTheme="minorHAnsi" w:hAnsiTheme="minorHAnsi"/>
          <w:sz w:val="22"/>
          <w:szCs w:val="22"/>
        </w:rPr>
        <w:t xml:space="preserve">.mat. We provide all FIBSEM data for Experiment I in the </w:t>
      </w:r>
      <w:proofErr w:type="spellStart"/>
      <w:r w:rsidR="00F17043">
        <w:rPr>
          <w:rFonts w:asciiTheme="minorHAnsi" w:hAnsiTheme="minorHAnsi"/>
          <w:sz w:val="22"/>
          <w:szCs w:val="22"/>
        </w:rPr>
        <w:t>Matlab</w:t>
      </w:r>
      <w:proofErr w:type="spellEnd"/>
      <w:r w:rsidR="00F17043">
        <w:rPr>
          <w:rFonts w:asciiTheme="minorHAnsi" w:hAnsiTheme="minorHAnsi"/>
          <w:sz w:val="22"/>
          <w:szCs w:val="22"/>
        </w:rPr>
        <w:t xml:space="preserve"> file </w:t>
      </w:r>
      <w:r w:rsidR="00F17043" w:rsidRPr="00F17043">
        <w:rPr>
          <w:rFonts w:asciiTheme="minorHAnsi" w:hAnsiTheme="minorHAnsi"/>
          <w:sz w:val="22"/>
          <w:szCs w:val="22"/>
        </w:rPr>
        <w:t>FIBSEM_exp1</w:t>
      </w:r>
      <w:r w:rsidR="00F17043">
        <w:rPr>
          <w:rFonts w:asciiTheme="minorHAnsi" w:hAnsiTheme="minorHAnsi"/>
          <w:sz w:val="22"/>
          <w:szCs w:val="22"/>
        </w:rPr>
        <w:t xml:space="preserve">.mat. HVC volume data for Experiment II is </w:t>
      </w:r>
      <w:r w:rsidR="00486A5E">
        <w:rPr>
          <w:rFonts w:asciiTheme="minorHAnsi" w:hAnsiTheme="minorHAnsi"/>
          <w:sz w:val="22"/>
          <w:szCs w:val="22"/>
        </w:rPr>
        <w:t>provided</w:t>
      </w:r>
      <w:r w:rsidR="00F17043">
        <w:rPr>
          <w:rFonts w:asciiTheme="minorHAnsi" w:hAnsiTheme="minorHAnsi"/>
          <w:sz w:val="22"/>
          <w:szCs w:val="22"/>
        </w:rPr>
        <w:t xml:space="preserve"> in the </w:t>
      </w:r>
      <w:proofErr w:type="spellStart"/>
      <w:r w:rsidR="00F17043">
        <w:rPr>
          <w:rFonts w:asciiTheme="minorHAnsi" w:hAnsiTheme="minorHAnsi"/>
          <w:sz w:val="22"/>
          <w:szCs w:val="22"/>
        </w:rPr>
        <w:t>Matlab</w:t>
      </w:r>
      <w:proofErr w:type="spellEnd"/>
      <w:r w:rsidR="00F17043">
        <w:rPr>
          <w:rFonts w:asciiTheme="minorHAnsi" w:hAnsiTheme="minorHAnsi"/>
          <w:sz w:val="22"/>
          <w:szCs w:val="22"/>
        </w:rPr>
        <w:t xml:space="preserve"> file </w:t>
      </w:r>
      <w:r w:rsidR="00F17043" w:rsidRPr="00F17043">
        <w:rPr>
          <w:rFonts w:asciiTheme="minorHAnsi" w:hAnsiTheme="minorHAnsi"/>
          <w:sz w:val="22"/>
          <w:szCs w:val="22"/>
        </w:rPr>
        <w:t>HVCvolume_exp2</w:t>
      </w:r>
      <w:r w:rsidR="00F17043">
        <w:rPr>
          <w:rFonts w:asciiTheme="minorHAnsi" w:hAnsiTheme="minorHAnsi"/>
          <w:sz w:val="22"/>
          <w:szCs w:val="22"/>
        </w:rPr>
        <w:t>.mat.</w:t>
      </w:r>
    </w:p>
    <w:p w14:paraId="22CD57C1" w14:textId="3AAC5DA8" w:rsidR="00F17043" w:rsidRDefault="00F170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191C802" w14:textId="7CBD5650" w:rsidR="00F17043" w:rsidRDefault="00F17043" w:rsidP="00F1704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reproduce </w:t>
      </w:r>
      <w:r w:rsidR="00486A5E">
        <w:rPr>
          <w:rFonts w:asciiTheme="minorHAnsi" w:hAnsiTheme="minorHAnsi"/>
          <w:sz w:val="22"/>
          <w:szCs w:val="22"/>
        </w:rPr>
        <w:t>our</w:t>
      </w:r>
      <w:r>
        <w:rPr>
          <w:rFonts w:asciiTheme="minorHAnsi" w:hAnsiTheme="minorHAnsi"/>
          <w:sz w:val="22"/>
          <w:szCs w:val="22"/>
        </w:rPr>
        <w:t xml:space="preserve"> linear mixed effects analyses</w:t>
      </w:r>
      <w:r w:rsidR="00486A5E">
        <w:rPr>
          <w:rFonts w:asciiTheme="minorHAnsi" w:hAnsiTheme="minorHAnsi"/>
          <w:sz w:val="22"/>
          <w:szCs w:val="22"/>
        </w:rPr>
        <w:t xml:space="preserve">, we provide the </w:t>
      </w:r>
      <w:proofErr w:type="spellStart"/>
      <w:r w:rsidR="00486A5E">
        <w:rPr>
          <w:rFonts w:asciiTheme="minorHAnsi" w:hAnsiTheme="minorHAnsi"/>
          <w:sz w:val="22"/>
          <w:szCs w:val="22"/>
        </w:rPr>
        <w:t>Matlab</w:t>
      </w:r>
      <w:proofErr w:type="spellEnd"/>
      <w:r w:rsidR="00486A5E">
        <w:rPr>
          <w:rFonts w:asciiTheme="minorHAnsi" w:hAnsiTheme="minorHAnsi"/>
          <w:sz w:val="22"/>
          <w:szCs w:val="22"/>
        </w:rPr>
        <w:t xml:space="preserve"> function </w:t>
      </w:r>
      <w:proofErr w:type="spellStart"/>
      <w:r w:rsidR="00486A5E">
        <w:rPr>
          <w:rFonts w:asciiTheme="minorHAnsi" w:hAnsiTheme="minorHAnsi"/>
          <w:sz w:val="22"/>
          <w:szCs w:val="22"/>
        </w:rPr>
        <w:t>getLME</w:t>
      </w:r>
      <w:proofErr w:type="spellEnd"/>
      <w:r w:rsidR="00486A5E">
        <w:rPr>
          <w:rFonts w:asciiTheme="minorHAnsi" w:hAnsiTheme="minorHAnsi"/>
          <w:sz w:val="22"/>
          <w:szCs w:val="22"/>
        </w:rPr>
        <w:t xml:space="preserve">. For example, to reproduce the </w:t>
      </w:r>
      <w:r w:rsidRPr="00F17043">
        <w:rPr>
          <w:rFonts w:asciiTheme="minorHAnsi" w:hAnsiTheme="minorHAnsi"/>
          <w:sz w:val="22"/>
          <w:szCs w:val="22"/>
        </w:rPr>
        <w:t xml:space="preserve">comparison </w:t>
      </w:r>
      <w:r w:rsidR="00486A5E">
        <w:rPr>
          <w:rFonts w:asciiTheme="minorHAnsi" w:hAnsiTheme="minorHAnsi"/>
          <w:sz w:val="22"/>
          <w:szCs w:val="22"/>
        </w:rPr>
        <w:t xml:space="preserve">between synaptic densities in LONG and LONG60 birds, one first needs to load the data: </w:t>
      </w:r>
      <w:r w:rsidR="00486A5E" w:rsidRPr="00486A5E">
        <w:rPr>
          <w:rFonts w:asciiTheme="minorHAnsi" w:hAnsiTheme="minorHAnsi"/>
          <w:i/>
          <w:sz w:val="22"/>
          <w:szCs w:val="22"/>
        </w:rPr>
        <w:t xml:space="preserve">load </w:t>
      </w:r>
      <w:r w:rsidRPr="00486A5E">
        <w:rPr>
          <w:rFonts w:asciiTheme="minorHAnsi" w:hAnsiTheme="minorHAnsi"/>
          <w:i/>
          <w:sz w:val="22"/>
          <w:szCs w:val="22"/>
        </w:rPr>
        <w:t>ss</w:t>
      </w:r>
      <w:r w:rsidR="00486A5E">
        <w:rPr>
          <w:rFonts w:asciiTheme="minorHAnsi" w:hAnsiTheme="minorHAnsi"/>
          <w:i/>
          <w:sz w:val="22"/>
          <w:szCs w:val="22"/>
        </w:rPr>
        <w:t>SEM_exp1and2_groupSeperat</w:t>
      </w:r>
      <w:r w:rsidR="00D90272">
        <w:rPr>
          <w:rFonts w:asciiTheme="minorHAnsi" w:hAnsiTheme="minorHAnsi"/>
          <w:i/>
          <w:sz w:val="22"/>
          <w:szCs w:val="22"/>
        </w:rPr>
        <w:t>e</w:t>
      </w:r>
      <w:r w:rsidR="00486A5E">
        <w:rPr>
          <w:rFonts w:asciiTheme="minorHAnsi" w:hAnsiTheme="minorHAnsi"/>
          <w:i/>
          <w:sz w:val="22"/>
          <w:szCs w:val="22"/>
        </w:rPr>
        <w:t>d</w:t>
      </w:r>
      <w:r w:rsidR="00486A5E">
        <w:rPr>
          <w:rFonts w:asciiTheme="minorHAnsi" w:hAnsiTheme="minorHAnsi"/>
          <w:sz w:val="22"/>
          <w:szCs w:val="22"/>
        </w:rPr>
        <w:t xml:space="preserve">, then one needs to concatenate the relevant variables: </w:t>
      </w:r>
      <w:r w:rsidRPr="00486A5E">
        <w:rPr>
          <w:rFonts w:asciiTheme="minorHAnsi" w:hAnsiTheme="minorHAnsi"/>
          <w:i/>
          <w:sz w:val="22"/>
          <w:szCs w:val="22"/>
        </w:rPr>
        <w:t>data=</w:t>
      </w:r>
      <w:proofErr w:type="spellStart"/>
      <w:r w:rsidRPr="00486A5E">
        <w:rPr>
          <w:rFonts w:asciiTheme="minorHAnsi" w:hAnsiTheme="minorHAnsi"/>
          <w:i/>
          <w:sz w:val="22"/>
          <w:szCs w:val="22"/>
        </w:rPr>
        <w:t>vertcat</w:t>
      </w:r>
      <w:proofErr w:type="spellEnd"/>
      <w:r w:rsidRPr="00486A5E">
        <w:rPr>
          <w:rFonts w:asciiTheme="minorHAnsi" w:hAnsiTheme="minorHAnsi"/>
          <w:i/>
          <w:sz w:val="22"/>
          <w:szCs w:val="22"/>
        </w:rPr>
        <w:t>(data_ssSEM_exp1_LONG,data_ssSEM_exp2_TUT60)</w:t>
      </w:r>
      <w:r w:rsidR="00486A5E">
        <w:rPr>
          <w:rFonts w:asciiTheme="minorHAnsi" w:hAnsiTheme="minorHAnsi"/>
          <w:i/>
          <w:sz w:val="22"/>
          <w:szCs w:val="22"/>
        </w:rPr>
        <w:t xml:space="preserve">, </w:t>
      </w:r>
      <w:r w:rsidR="00486A5E">
        <w:rPr>
          <w:rFonts w:asciiTheme="minorHAnsi" w:hAnsiTheme="minorHAnsi"/>
          <w:sz w:val="22"/>
          <w:szCs w:val="22"/>
        </w:rPr>
        <w:t xml:space="preserve">and finally, one needs to run the function: </w:t>
      </w:r>
      <w:r w:rsidRPr="00486A5E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486A5E">
        <w:rPr>
          <w:rFonts w:asciiTheme="minorHAnsi" w:hAnsiTheme="minorHAnsi"/>
          <w:i/>
          <w:sz w:val="22"/>
          <w:szCs w:val="22"/>
        </w:rPr>
        <w:t>getLME</w:t>
      </w:r>
      <w:proofErr w:type="spellEnd"/>
      <w:r w:rsidRPr="00486A5E">
        <w:rPr>
          <w:rFonts w:asciiTheme="minorHAnsi" w:hAnsiTheme="minorHAnsi"/>
          <w:i/>
          <w:sz w:val="22"/>
          <w:szCs w:val="22"/>
        </w:rPr>
        <w:t>(data)</w:t>
      </w:r>
      <w:r w:rsidR="00486A5E">
        <w:rPr>
          <w:rFonts w:asciiTheme="minorHAnsi" w:hAnsiTheme="minorHAnsi"/>
          <w:i/>
          <w:sz w:val="22"/>
          <w:szCs w:val="22"/>
        </w:rPr>
        <w:t>,</w:t>
      </w:r>
      <w:r w:rsidR="00486A5E">
        <w:rPr>
          <w:rFonts w:asciiTheme="minorHAnsi" w:hAnsiTheme="minorHAnsi"/>
          <w:sz w:val="22"/>
          <w:szCs w:val="22"/>
        </w:rPr>
        <w:t xml:space="preserve"> followed by typing </w:t>
      </w:r>
      <w:r w:rsidRPr="00486A5E">
        <w:rPr>
          <w:rFonts w:asciiTheme="minorHAnsi" w:hAnsiTheme="minorHAnsi"/>
          <w:i/>
          <w:sz w:val="22"/>
          <w:szCs w:val="22"/>
        </w:rPr>
        <w:t>1</w:t>
      </w:r>
      <w:r w:rsidRPr="00F17043">
        <w:rPr>
          <w:rFonts w:asciiTheme="minorHAnsi" w:hAnsiTheme="minorHAnsi"/>
          <w:sz w:val="22"/>
          <w:szCs w:val="22"/>
        </w:rPr>
        <w:t xml:space="preserve"> </w:t>
      </w:r>
      <w:r w:rsidR="00486A5E">
        <w:rPr>
          <w:rFonts w:asciiTheme="minorHAnsi" w:hAnsiTheme="minorHAnsi"/>
          <w:sz w:val="22"/>
          <w:szCs w:val="22"/>
        </w:rPr>
        <w:t>for running</w:t>
      </w:r>
      <w:r w:rsidRPr="00F17043">
        <w:rPr>
          <w:rFonts w:asciiTheme="minorHAnsi" w:hAnsiTheme="minorHAnsi"/>
          <w:sz w:val="22"/>
          <w:szCs w:val="22"/>
        </w:rPr>
        <w:t xml:space="preserve"> the </w:t>
      </w:r>
      <w:r w:rsidR="00486A5E">
        <w:rPr>
          <w:rFonts w:asciiTheme="minorHAnsi" w:hAnsiTheme="minorHAnsi"/>
          <w:sz w:val="22"/>
          <w:szCs w:val="22"/>
        </w:rPr>
        <w:t>analysis for</w:t>
      </w:r>
      <w:r w:rsidRPr="00F17043">
        <w:rPr>
          <w:rFonts w:asciiTheme="minorHAnsi" w:hAnsiTheme="minorHAnsi"/>
          <w:sz w:val="22"/>
          <w:szCs w:val="22"/>
        </w:rPr>
        <w:t xml:space="preserve"> asymmetric </w:t>
      </w:r>
      <w:r w:rsidR="00486A5E">
        <w:rPr>
          <w:rFonts w:asciiTheme="minorHAnsi" w:hAnsiTheme="minorHAnsi"/>
          <w:sz w:val="22"/>
          <w:szCs w:val="22"/>
        </w:rPr>
        <w:t>synapses.</w:t>
      </w:r>
    </w:p>
    <w:p w14:paraId="06A54143" w14:textId="3704D31F" w:rsidR="00B672BC" w:rsidRDefault="00B672BC" w:rsidP="00F1704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F2411A5" w14:textId="644747DD" w:rsidR="00B672BC" w:rsidRPr="00505C51" w:rsidRDefault="00CD149B" w:rsidP="00F1704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proofErr w:type="spellStart"/>
      <w:r w:rsidR="00B672BC">
        <w:rPr>
          <w:rFonts w:asciiTheme="minorHAnsi" w:hAnsiTheme="minorHAnsi"/>
          <w:sz w:val="22"/>
          <w:szCs w:val="22"/>
        </w:rPr>
        <w:t>Matlab</w:t>
      </w:r>
      <w:proofErr w:type="spellEnd"/>
      <w:r w:rsidR="00B672BC">
        <w:rPr>
          <w:rFonts w:asciiTheme="minorHAnsi" w:hAnsiTheme="minorHAnsi"/>
          <w:sz w:val="22"/>
          <w:szCs w:val="22"/>
        </w:rPr>
        <w:t xml:space="preserve"> files can be </w:t>
      </w:r>
      <w:r>
        <w:rPr>
          <w:rFonts w:asciiTheme="minorHAnsi" w:hAnsiTheme="minorHAnsi"/>
          <w:sz w:val="22"/>
          <w:szCs w:val="22"/>
        </w:rPr>
        <w:t xml:space="preserve">retrieved from </w:t>
      </w:r>
      <w:hyperlink r:id="rId11" w:history="1">
        <w:r w:rsidRPr="00BE047F">
          <w:rPr>
            <w:rStyle w:val="Hyperlink"/>
            <w:rFonts w:ascii="Arial" w:hAnsi="Arial" w:cs="Arial"/>
            <w:sz w:val="21"/>
            <w:szCs w:val="21"/>
          </w:rPr>
          <w:t>https://www.research-collection.ethz.ch/handle/20.500.11850/285394</w:t>
        </w:r>
      </w:hyperlink>
      <w:r>
        <w:rPr>
          <w:rFonts w:asciiTheme="minorHAnsi" w:hAnsiTheme="minorHAnsi"/>
          <w:sz w:val="22"/>
          <w:szCs w:val="22"/>
        </w:rPr>
        <w:t xml:space="preserve">, </w:t>
      </w:r>
      <w:r w:rsidR="00B672BC">
        <w:rPr>
          <w:rFonts w:asciiTheme="minorHAnsi" w:hAnsiTheme="minorHAnsi"/>
          <w:sz w:val="22"/>
          <w:szCs w:val="22"/>
        </w:rPr>
        <w:t xml:space="preserve">DOI </w:t>
      </w:r>
      <w:r w:rsidR="00B672BC" w:rsidRPr="00B672BC">
        <w:rPr>
          <w:rFonts w:asciiTheme="minorHAnsi" w:hAnsiTheme="minorHAnsi"/>
          <w:sz w:val="22"/>
          <w:szCs w:val="22"/>
        </w:rPr>
        <w:t>10.3929/ethz-b-000285394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2D1B9" w14:textId="77777777" w:rsidR="008A324E" w:rsidRDefault="008A324E" w:rsidP="004215FE">
      <w:r>
        <w:separator/>
      </w:r>
    </w:p>
  </w:endnote>
  <w:endnote w:type="continuationSeparator" w:id="0">
    <w:p w14:paraId="7022FABD" w14:textId="77777777" w:rsidR="008A324E" w:rsidRDefault="008A324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4944FC" w:rsidRDefault="004944F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944FC" w:rsidRDefault="004944F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944FC" w:rsidRDefault="004944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4423986" w:rsidR="004944FC" w:rsidRPr="0009520A" w:rsidRDefault="004944F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D149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944FC" w:rsidRPr="00062DBF" w:rsidRDefault="004944F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B3CC8" w14:textId="77777777" w:rsidR="008A324E" w:rsidRDefault="008A324E" w:rsidP="004215FE">
      <w:r>
        <w:separator/>
      </w:r>
    </w:p>
  </w:footnote>
  <w:footnote w:type="continuationSeparator" w:id="0">
    <w:p w14:paraId="08D290A0" w14:textId="77777777" w:rsidR="008A324E" w:rsidRDefault="008A324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4944FC" w:rsidRDefault="004944F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198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5FE3"/>
    <w:rsid w:val="00194749"/>
    <w:rsid w:val="001B0972"/>
    <w:rsid w:val="001B2F71"/>
    <w:rsid w:val="001E1D59"/>
    <w:rsid w:val="00212F30"/>
    <w:rsid w:val="00217B9E"/>
    <w:rsid w:val="002336C6"/>
    <w:rsid w:val="00241081"/>
    <w:rsid w:val="002553C2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01D9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6A5E"/>
    <w:rsid w:val="004944FC"/>
    <w:rsid w:val="004A5C32"/>
    <w:rsid w:val="004B41D4"/>
    <w:rsid w:val="004C7352"/>
    <w:rsid w:val="004D5E59"/>
    <w:rsid w:val="004D602A"/>
    <w:rsid w:val="004D73CF"/>
    <w:rsid w:val="004E4945"/>
    <w:rsid w:val="004F451D"/>
    <w:rsid w:val="00505C51"/>
    <w:rsid w:val="00516A01"/>
    <w:rsid w:val="005268DE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2376"/>
    <w:rsid w:val="006C7BC3"/>
    <w:rsid w:val="006E4A6C"/>
    <w:rsid w:val="006E6B2A"/>
    <w:rsid w:val="00700103"/>
    <w:rsid w:val="007137E1"/>
    <w:rsid w:val="00755FF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24E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4253"/>
    <w:rsid w:val="00A323A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2BC"/>
    <w:rsid w:val="00B94C5D"/>
    <w:rsid w:val="00BA4D1B"/>
    <w:rsid w:val="00BA5BB7"/>
    <w:rsid w:val="00BB00D0"/>
    <w:rsid w:val="00BB55EC"/>
    <w:rsid w:val="00BC3CCE"/>
    <w:rsid w:val="00BE3568"/>
    <w:rsid w:val="00C1184B"/>
    <w:rsid w:val="00C21D14"/>
    <w:rsid w:val="00C24CF7"/>
    <w:rsid w:val="00C42ECB"/>
    <w:rsid w:val="00C52A77"/>
    <w:rsid w:val="00C820B0"/>
    <w:rsid w:val="00CC6EF3"/>
    <w:rsid w:val="00CD149B"/>
    <w:rsid w:val="00CD6AEC"/>
    <w:rsid w:val="00CE6849"/>
    <w:rsid w:val="00CF4BBE"/>
    <w:rsid w:val="00CF6CB5"/>
    <w:rsid w:val="00D00E5E"/>
    <w:rsid w:val="00D10224"/>
    <w:rsid w:val="00D44612"/>
    <w:rsid w:val="00D50299"/>
    <w:rsid w:val="00D74320"/>
    <w:rsid w:val="00D779BF"/>
    <w:rsid w:val="00D83D45"/>
    <w:rsid w:val="00D90272"/>
    <w:rsid w:val="00D93937"/>
    <w:rsid w:val="00DE207A"/>
    <w:rsid w:val="00DE2719"/>
    <w:rsid w:val="00DF1913"/>
    <w:rsid w:val="00E007B4"/>
    <w:rsid w:val="00E234CA"/>
    <w:rsid w:val="00E41364"/>
    <w:rsid w:val="00E51217"/>
    <w:rsid w:val="00E61AB4"/>
    <w:rsid w:val="00E70517"/>
    <w:rsid w:val="00E870D1"/>
    <w:rsid w:val="00EB3FC0"/>
    <w:rsid w:val="00ED346E"/>
    <w:rsid w:val="00EF7423"/>
    <w:rsid w:val="00F17043"/>
    <w:rsid w:val="00F27DEC"/>
    <w:rsid w:val="00F3344F"/>
    <w:rsid w:val="00F35CE2"/>
    <w:rsid w:val="00F60CF4"/>
    <w:rsid w:val="00FA575A"/>
    <w:rsid w:val="00FC1F40"/>
    <w:rsid w:val="00FC3437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4FE428F-F18F-4F8A-9C88-23C69ED1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search-collection.ethz.ch/handle/20.500.11850/28539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57A7A1-71D7-499F-BDA6-B7F281025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Richard Hahnloser</cp:lastModifiedBy>
  <cp:revision>38</cp:revision>
  <dcterms:created xsi:type="dcterms:W3CDTF">2017-06-13T14:43:00Z</dcterms:created>
  <dcterms:modified xsi:type="dcterms:W3CDTF">2018-10-07T14:52:00Z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387540</vt:lpwstr>
  </property>
  <property fmtid="{D5CDD505-2E9C-101B-9397-08002B2CF9AE}" pid="3" name="ProjectId">
    <vt:lpwstr>0</vt:lpwstr>
  </property>
  <property fmtid="{D5CDD505-2E9C-101B-9397-08002B2CF9AE}" pid="4" name="StyleId">
    <vt:lpwstr>http://www.zotero.org/styles/vancouver</vt:lpwstr>
  </property>
</Properties>
</file>