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2E1F3" w14:textId="77777777" w:rsidR="00C42AB8" w:rsidRPr="003C185A" w:rsidRDefault="00C42AB8" w:rsidP="00C42AB8">
      <w:r>
        <w:rPr>
          <w:b/>
        </w:rPr>
        <w:t xml:space="preserve">Supplementary File 16. </w:t>
      </w:r>
      <w:r>
        <w:t xml:space="preserve">Analyses of mechanical sensitivity in mantis shrimp and sunfish are robust to static measures of KT (see Methods). Table shows </w:t>
      </w:r>
      <w:r w:rsidRPr="00CB3BF6">
        <w:t>PGLS</w:t>
      </w:r>
      <w:r>
        <w:t xml:space="preserve"> regressions examining the relationship between mobile links (predictor variable) and kinematic transmission (response variable) using static (rather than dynamic) measures of KT in mantis shrimp and sunfish. </w:t>
      </w:r>
    </w:p>
    <w:p w14:paraId="49D31EDD" w14:textId="77777777" w:rsidR="00C42AB8" w:rsidRDefault="00C42AB8" w:rsidP="00C42AB8"/>
    <w:p w14:paraId="4353DA3A" w14:textId="77777777" w:rsidR="00C42AB8" w:rsidRPr="00BD41FB" w:rsidRDefault="00C42AB8" w:rsidP="00C42AB8">
      <w:pPr>
        <w:ind w:left="720" w:firstLine="720"/>
        <w:outlineLvl w:val="0"/>
        <w:rPr>
          <w:b/>
        </w:rPr>
      </w:pPr>
      <w:r>
        <w:rPr>
          <w:b/>
        </w:rPr>
        <w:t>Mantis Shrimp (</w:t>
      </w:r>
      <w:proofErr w:type="spellStart"/>
      <w:r>
        <w:rPr>
          <w:b/>
        </w:rPr>
        <w:t>df</w:t>
      </w:r>
      <w:proofErr w:type="spellEnd"/>
      <w:r>
        <w:rPr>
          <w:b/>
        </w:rPr>
        <w:t>=34)</w:t>
      </w:r>
    </w:p>
    <w:tbl>
      <w:tblPr>
        <w:tblStyle w:val="TableGrid"/>
        <w:tblW w:w="6846" w:type="dxa"/>
        <w:jc w:val="center"/>
        <w:tblLook w:val="04A0" w:firstRow="1" w:lastRow="0" w:firstColumn="1" w:lastColumn="0" w:noHBand="0" w:noVBand="1"/>
      </w:tblPr>
      <w:tblGrid>
        <w:gridCol w:w="1733"/>
        <w:gridCol w:w="1541"/>
        <w:gridCol w:w="1498"/>
        <w:gridCol w:w="1032"/>
        <w:gridCol w:w="1042"/>
      </w:tblGrid>
      <w:tr w:rsidR="00C42AB8" w:rsidRPr="00BD41FB" w14:paraId="0857ADC7" w14:textId="77777777" w:rsidTr="0054433E">
        <w:trPr>
          <w:jc w:val="center"/>
        </w:trPr>
        <w:tc>
          <w:tcPr>
            <w:tcW w:w="17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E7CA07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Predictor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13E11B0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proofErr w:type="spellStart"/>
            <w:r w:rsidRPr="00BD41FB">
              <w:rPr>
                <w:sz w:val="22"/>
                <w:szCs w:val="22"/>
              </w:rPr>
              <w:t>Coeff</w:t>
            </w:r>
            <w:proofErr w:type="spellEnd"/>
            <w:r w:rsidRPr="00BD41FB">
              <w:rPr>
                <w:sz w:val="22"/>
                <w:szCs w:val="22"/>
              </w:rPr>
              <w:t xml:space="preserve">. </w:t>
            </w:r>
            <w:r w:rsidRPr="00BD41FB">
              <w:rPr>
                <w:sz w:val="22"/>
                <w:szCs w:val="22"/>
              </w:rPr>
              <w:sym w:font="Symbol" w:char="F0B1"/>
            </w:r>
            <w:r w:rsidRPr="00BD41FB">
              <w:rPr>
                <w:sz w:val="22"/>
                <w:szCs w:val="22"/>
              </w:rPr>
              <w:t xml:space="preserve"> SE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53947B0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t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7FDEA3" w14:textId="77777777" w:rsidR="00C42AB8" w:rsidRPr="00BD41FB" w:rsidRDefault="00C42AB8" w:rsidP="0054433E">
            <w:pPr>
              <w:rPr>
                <w:i/>
                <w:sz w:val="22"/>
                <w:szCs w:val="22"/>
              </w:rPr>
            </w:pPr>
            <w:r w:rsidRPr="00BD41FB">
              <w:rPr>
                <w:i/>
                <w:sz w:val="22"/>
                <w:szCs w:val="22"/>
              </w:rPr>
              <w:t>P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8CF9CB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r</w:t>
            </w:r>
            <w:r w:rsidRPr="00BD41FB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C42AB8" w:rsidRPr="00BD41FB" w14:paraId="050FC690" w14:textId="77777777" w:rsidTr="0054433E">
        <w:trPr>
          <w:jc w:val="center"/>
        </w:trPr>
        <w:tc>
          <w:tcPr>
            <w:tcW w:w="17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6B25448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Input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2580F59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0.10 </w:t>
            </w:r>
            <w:r w:rsidRPr="00BD41FB">
              <w:rPr>
                <w:sz w:val="22"/>
                <w:szCs w:val="22"/>
              </w:rPr>
              <w:sym w:font="Symbol" w:char="F0B1"/>
            </w:r>
            <w:r>
              <w:rPr>
                <w:sz w:val="22"/>
                <w:szCs w:val="22"/>
              </w:rPr>
              <w:t xml:space="preserve"> 0.28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7517DDC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0.36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C56210F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0.720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F3F28E0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-0.025</w:t>
            </w:r>
          </w:p>
        </w:tc>
      </w:tr>
      <w:tr w:rsidR="00C42AB8" w:rsidRPr="00BD41FB" w14:paraId="43421C8F" w14:textId="77777777" w:rsidTr="0054433E">
        <w:trPr>
          <w:jc w:val="center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494123BB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Output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63049738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-0.69 </w:t>
            </w:r>
            <w:r w:rsidRPr="00BD41FB">
              <w:rPr>
                <w:sz w:val="22"/>
                <w:szCs w:val="22"/>
              </w:rPr>
              <w:sym w:font="Symbol" w:char="F0B1"/>
            </w:r>
            <w:r>
              <w:rPr>
                <w:sz w:val="22"/>
                <w:szCs w:val="22"/>
              </w:rPr>
              <w:t xml:space="preserve"> 0.10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422A3AD3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-7.26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691F97AD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2.1e-8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C0ABEAE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0.597</w:t>
            </w:r>
          </w:p>
        </w:tc>
      </w:tr>
      <w:tr w:rsidR="00C42AB8" w:rsidRPr="00BD41FB" w14:paraId="17CD6CFE" w14:textId="77777777" w:rsidTr="0054433E">
        <w:trPr>
          <w:trHeight w:val="234"/>
          <w:jc w:val="center"/>
        </w:trPr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A4E83D2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Coupler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1240262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0.33 </w:t>
            </w:r>
            <w:r w:rsidRPr="00BD41FB">
              <w:rPr>
                <w:sz w:val="22"/>
                <w:szCs w:val="22"/>
              </w:rPr>
              <w:sym w:font="Symbol" w:char="F0B1"/>
            </w:r>
            <w:r>
              <w:rPr>
                <w:sz w:val="22"/>
                <w:szCs w:val="22"/>
              </w:rPr>
              <w:t xml:space="preserve"> 0.36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D7C1D14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0.92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459F1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0.366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3AB2594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-0.005</w:t>
            </w:r>
          </w:p>
        </w:tc>
      </w:tr>
    </w:tbl>
    <w:p w14:paraId="3EDB1807" w14:textId="77777777" w:rsidR="00C42AB8" w:rsidRDefault="00C42AB8" w:rsidP="00C42AB8">
      <w:pPr>
        <w:ind w:left="720" w:firstLine="720"/>
        <w:rPr>
          <w:b/>
        </w:rPr>
      </w:pPr>
    </w:p>
    <w:p w14:paraId="76359084" w14:textId="77777777" w:rsidR="00C42AB8" w:rsidRPr="00BD41FB" w:rsidRDefault="00C42AB8" w:rsidP="00C42AB8">
      <w:pPr>
        <w:ind w:left="720" w:firstLine="720"/>
        <w:outlineLvl w:val="0"/>
        <w:rPr>
          <w:b/>
        </w:rPr>
      </w:pPr>
      <w:r>
        <w:rPr>
          <w:b/>
        </w:rPr>
        <w:t>Sunfish (</w:t>
      </w:r>
      <w:proofErr w:type="spellStart"/>
      <w:r>
        <w:rPr>
          <w:b/>
        </w:rPr>
        <w:t>df</w:t>
      </w:r>
      <w:proofErr w:type="spellEnd"/>
      <w:r>
        <w:rPr>
          <w:b/>
        </w:rPr>
        <w:t>=18)</w:t>
      </w:r>
    </w:p>
    <w:tbl>
      <w:tblPr>
        <w:tblStyle w:val="TableGrid"/>
        <w:tblW w:w="6843" w:type="dxa"/>
        <w:jc w:val="center"/>
        <w:tblLook w:val="04A0" w:firstRow="1" w:lastRow="0" w:firstColumn="1" w:lastColumn="0" w:noHBand="0" w:noVBand="1"/>
      </w:tblPr>
      <w:tblGrid>
        <w:gridCol w:w="1733"/>
        <w:gridCol w:w="1541"/>
        <w:gridCol w:w="1498"/>
        <w:gridCol w:w="1032"/>
        <w:gridCol w:w="1039"/>
      </w:tblGrid>
      <w:tr w:rsidR="00C42AB8" w:rsidRPr="00BD41FB" w14:paraId="40976AD0" w14:textId="77777777" w:rsidTr="0054433E">
        <w:trPr>
          <w:jc w:val="center"/>
        </w:trPr>
        <w:tc>
          <w:tcPr>
            <w:tcW w:w="17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FF61F32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Predictor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17BC20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proofErr w:type="spellStart"/>
            <w:r w:rsidRPr="00BD41FB">
              <w:rPr>
                <w:sz w:val="22"/>
                <w:szCs w:val="22"/>
              </w:rPr>
              <w:t>Coeff</w:t>
            </w:r>
            <w:proofErr w:type="spellEnd"/>
            <w:r w:rsidRPr="00BD41FB">
              <w:rPr>
                <w:sz w:val="22"/>
                <w:szCs w:val="22"/>
              </w:rPr>
              <w:t xml:space="preserve">. </w:t>
            </w:r>
            <w:r w:rsidRPr="00BD41FB">
              <w:rPr>
                <w:sz w:val="22"/>
                <w:szCs w:val="22"/>
              </w:rPr>
              <w:sym w:font="Symbol" w:char="F0B1"/>
            </w:r>
            <w:r w:rsidRPr="00BD41FB">
              <w:rPr>
                <w:sz w:val="22"/>
                <w:szCs w:val="22"/>
              </w:rPr>
              <w:t xml:space="preserve"> SE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98CDF3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t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621B135" w14:textId="77777777" w:rsidR="00C42AB8" w:rsidRPr="00BD41FB" w:rsidRDefault="00C42AB8" w:rsidP="0054433E">
            <w:pPr>
              <w:rPr>
                <w:i/>
                <w:sz w:val="22"/>
                <w:szCs w:val="22"/>
              </w:rPr>
            </w:pPr>
            <w:r w:rsidRPr="00BD41FB">
              <w:rPr>
                <w:i/>
                <w:sz w:val="22"/>
                <w:szCs w:val="22"/>
              </w:rPr>
              <w:t>P</w:t>
            </w:r>
          </w:p>
        </w:tc>
        <w:tc>
          <w:tcPr>
            <w:tcW w:w="10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597EE22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r</w:t>
            </w:r>
            <w:r w:rsidRPr="00BD41FB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C42AB8" w:rsidRPr="00BD41FB" w14:paraId="008F6172" w14:textId="77777777" w:rsidTr="0054433E">
        <w:trPr>
          <w:jc w:val="center"/>
        </w:trPr>
        <w:tc>
          <w:tcPr>
            <w:tcW w:w="17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BE98CF3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Input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9D10286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3.0 </w:t>
            </w:r>
            <w:r w:rsidRPr="00BD41FB">
              <w:rPr>
                <w:sz w:val="22"/>
                <w:szCs w:val="22"/>
              </w:rPr>
              <w:sym w:font="Symbol" w:char="F0B1"/>
            </w:r>
            <w:r>
              <w:rPr>
                <w:sz w:val="22"/>
                <w:szCs w:val="22"/>
              </w:rPr>
              <w:t xml:space="preserve"> 0.66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25A83A8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4.56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579879D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2.8e-4</w:t>
            </w:r>
          </w:p>
        </w:tc>
        <w:tc>
          <w:tcPr>
            <w:tcW w:w="103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2548C1A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0.523</w:t>
            </w:r>
          </w:p>
        </w:tc>
      </w:tr>
      <w:tr w:rsidR="00C42AB8" w:rsidRPr="00BD41FB" w14:paraId="06C8F1F1" w14:textId="77777777" w:rsidTr="0054433E">
        <w:trPr>
          <w:jc w:val="center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1799F509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Output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085A2199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-1.20 </w:t>
            </w:r>
            <w:r w:rsidRPr="00BD41FB">
              <w:rPr>
                <w:sz w:val="22"/>
                <w:szCs w:val="22"/>
              </w:rPr>
              <w:sym w:font="Symbol" w:char="F0B1"/>
            </w:r>
            <w:r>
              <w:rPr>
                <w:sz w:val="22"/>
                <w:szCs w:val="22"/>
              </w:rPr>
              <w:t xml:space="preserve"> 0.07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04C7AE4D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-16.98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7B768316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4.3e-12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0C8FE175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0.941</w:t>
            </w:r>
          </w:p>
        </w:tc>
      </w:tr>
      <w:tr w:rsidR="00C42AB8" w:rsidRPr="00BD41FB" w14:paraId="4C87BA3D" w14:textId="77777777" w:rsidTr="0054433E">
        <w:trPr>
          <w:jc w:val="center"/>
        </w:trPr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5F65303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 w:rsidRPr="00BD41FB">
              <w:rPr>
                <w:sz w:val="22"/>
                <w:szCs w:val="22"/>
              </w:rPr>
              <w:t>Coupler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DB773A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-0.78 </w:t>
            </w:r>
            <w:r w:rsidRPr="00BD41FB">
              <w:rPr>
                <w:sz w:val="22"/>
                <w:szCs w:val="22"/>
              </w:rPr>
              <w:sym w:font="Symbol" w:char="F0B1"/>
            </w:r>
            <w:r>
              <w:rPr>
                <w:sz w:val="22"/>
                <w:szCs w:val="22"/>
              </w:rPr>
              <w:t xml:space="preserve"> 0.63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F79BD71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-1.25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C657BEE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0.229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C50382C" w14:textId="77777777" w:rsidR="00C42AB8" w:rsidRPr="00BD41FB" w:rsidRDefault="00C42AB8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0.030</w:t>
            </w:r>
          </w:p>
        </w:tc>
      </w:tr>
    </w:tbl>
    <w:p w14:paraId="0E00903A" w14:textId="77777777" w:rsidR="00C42AB8" w:rsidRDefault="00C42AB8" w:rsidP="00C42AB8"/>
    <w:p w14:paraId="0E1CBA9B" w14:textId="23B19C2D" w:rsidR="00AE3F4F" w:rsidRPr="00C42AB8" w:rsidRDefault="00C42AB8" w:rsidP="00C42AB8">
      <w:bookmarkStart w:id="0" w:name="_GoBack"/>
      <w:bookmarkEnd w:id="0"/>
    </w:p>
    <w:sectPr w:rsidR="00AE3F4F" w:rsidRPr="00C42AB8" w:rsidSect="005B2BF0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F0"/>
    <w:rsid w:val="00137050"/>
    <w:rsid w:val="002746C6"/>
    <w:rsid w:val="002D66C7"/>
    <w:rsid w:val="00476FEA"/>
    <w:rsid w:val="004D7C1C"/>
    <w:rsid w:val="00556E19"/>
    <w:rsid w:val="005B2BF0"/>
    <w:rsid w:val="006D0D34"/>
    <w:rsid w:val="007A17D4"/>
    <w:rsid w:val="008136B3"/>
    <w:rsid w:val="00A07898"/>
    <w:rsid w:val="00A7250D"/>
    <w:rsid w:val="00AF5E2F"/>
    <w:rsid w:val="00B60A9F"/>
    <w:rsid w:val="00C05E53"/>
    <w:rsid w:val="00C42AB8"/>
    <w:rsid w:val="00D203CF"/>
    <w:rsid w:val="00E6312E"/>
    <w:rsid w:val="00F51AE5"/>
    <w:rsid w:val="00FC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1ED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E1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BF0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Munoz, Martha</dc:creator>
  <cp:keywords/>
  <dc:description/>
  <cp:lastModifiedBy>SNP</cp:lastModifiedBy>
  <cp:revision>2</cp:revision>
  <cp:lastPrinted>2017-10-16T18:30:00Z</cp:lastPrinted>
  <dcterms:created xsi:type="dcterms:W3CDTF">2018-08-03T13:03:00Z</dcterms:created>
  <dcterms:modified xsi:type="dcterms:W3CDTF">2018-08-03T13:03:00Z</dcterms:modified>
</cp:coreProperties>
</file>