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1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2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B2EFEB1" w14:textId="02CDCA31" w:rsidR="00C8042F" w:rsidRPr="00905CC1" w:rsidRDefault="00C8042F" w:rsidP="00C8042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905CC1">
        <w:rPr>
          <w:rFonts w:asciiTheme="minorHAnsi" w:eastAsiaTheme="minorEastAsia" w:hAnsiTheme="minorHAnsi" w:cstheme="minorHAnsi"/>
          <w:sz w:val="20"/>
          <w:szCs w:val="20"/>
        </w:rPr>
        <w:t xml:space="preserve">No explicit power analysis was conducted for determining sample size. This was estimated conservatively (N=30) on the basis of effect sizes in simultaneous EEG/fMRI datasets acquired in our lab (Fouragnan et al., 2015; Pisauro et al., 2017). </w:t>
      </w:r>
      <w:r w:rsidR="00624FB1" w:rsidRPr="00905CC1">
        <w:rPr>
          <w:rFonts w:asciiTheme="minorHAnsi" w:eastAsiaTheme="minorEastAsia" w:hAnsiTheme="minorHAnsi" w:cstheme="minorHAnsi"/>
          <w:sz w:val="20"/>
          <w:szCs w:val="20"/>
        </w:rPr>
        <w:t>Notably, o</w:t>
      </w:r>
      <w:r w:rsidRPr="00905CC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ur EEG analysis was performed on individual subjects using cross validation, such that in estimating our electrophysiologically-derived measure of confidence, each subject became their own replication unit </w:t>
      </w:r>
      <w:r w:rsidRPr="00905CC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fldChar w:fldCharType="begin">
          <w:fldData xml:space="preserve">PEVuZE5vdGU+PENpdGU+PEF1dGhvcj5TbWl0aDwvQXV0aG9yPjxZZWFyPjIwMTg8L1llYXI+PFJl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=
</w:fldData>
        </w:fldChar>
      </w:r>
      <w:r w:rsidRPr="00905CC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instrText xml:space="preserve"> ADDIN EN.CITE </w:instrText>
      </w:r>
      <w:r w:rsidRPr="00905CC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fldChar w:fldCharType="begin">
          <w:fldData xml:space="preserve">PEVuZE5vdGU+PENpdGU+PEF1dGhvcj5TbWl0aDwvQXV0aG9yPjxZZWFyPjIwMTg8L1llYXI+PFJl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=
</w:fldData>
        </w:fldChar>
      </w:r>
      <w:r w:rsidRPr="00905CC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instrText xml:space="preserve"> ADDIN EN.CITE.DATA </w:instrText>
      </w:r>
      <w:r w:rsidRPr="00905CC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r>
      <w:r w:rsidRPr="00905CC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fldChar w:fldCharType="end"/>
      </w:r>
      <w:r w:rsidRPr="00905CC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r>
      <w:r w:rsidRPr="00905CC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fldChar w:fldCharType="separate"/>
      </w:r>
      <w:r w:rsidRPr="00905CC1">
        <w:rPr>
          <w:rFonts w:asciiTheme="minorHAnsi" w:hAnsiTheme="minorHAnsi" w:cstheme="minorHAnsi"/>
          <w:noProof/>
          <w:color w:val="000000"/>
          <w:sz w:val="20"/>
          <w:szCs w:val="20"/>
          <w:shd w:val="clear" w:color="auto" w:fill="FFFFFF"/>
        </w:rPr>
        <w:t>(</w:t>
      </w:r>
      <w:hyperlink w:anchor="_ENREF_77" w:tooltip="Smith, 2018 #88" w:history="1">
        <w:r w:rsidRPr="00905CC1">
          <w:rPr>
            <w:rFonts w:asciiTheme="minorHAnsi" w:hAnsiTheme="minorHAnsi" w:cstheme="minorHAnsi"/>
            <w:noProof/>
            <w:color w:val="000000"/>
            <w:sz w:val="20"/>
            <w:szCs w:val="20"/>
            <w:shd w:val="clear" w:color="auto" w:fill="FFFFFF"/>
          </w:rPr>
          <w:t>Smith and Little, 2018</w:t>
        </w:r>
      </w:hyperlink>
      <w:r w:rsidRPr="00905CC1">
        <w:rPr>
          <w:rFonts w:asciiTheme="minorHAnsi" w:hAnsiTheme="minorHAnsi" w:cstheme="minorHAnsi"/>
          <w:noProof/>
          <w:color w:val="000000"/>
          <w:sz w:val="20"/>
          <w:szCs w:val="20"/>
          <w:shd w:val="clear" w:color="auto" w:fill="FFFFFF"/>
        </w:rPr>
        <w:t>)</w:t>
      </w:r>
      <w:r w:rsidRPr="00905CC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fldChar w:fldCharType="end"/>
      </w:r>
      <w:r w:rsidRPr="00905CC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.</w:t>
      </w:r>
    </w:p>
    <w:p w14:paraId="41EB2B7F" w14:textId="77777777" w:rsidR="00C8042F" w:rsidRPr="00905CC1" w:rsidRDefault="00C8042F" w:rsidP="00C8042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</w:p>
    <w:p w14:paraId="75F08DA3" w14:textId="0846C80E" w:rsidR="00C8042F" w:rsidRPr="00905CC1" w:rsidRDefault="00C8042F" w:rsidP="00C8042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905CC1">
        <w:rPr>
          <w:rFonts w:asciiTheme="minorHAnsi" w:eastAsiaTheme="minorEastAsia" w:hAnsiTheme="minorHAnsi" w:cstheme="minorHAnsi"/>
          <w:sz w:val="20"/>
          <w:szCs w:val="20"/>
        </w:rPr>
        <w:t>Relevant i</w:t>
      </w:r>
      <w:r w:rsidRPr="00905CC1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nformation is included in </w:t>
      </w:r>
      <w:r w:rsidRPr="00905CC1">
        <w:rPr>
          <w:rFonts w:asciiTheme="minorHAnsi" w:hAnsiTheme="minorHAnsi" w:cstheme="minorHAnsi"/>
          <w:i/>
          <w:sz w:val="20"/>
          <w:szCs w:val="20"/>
          <w:shd w:val="clear" w:color="auto" w:fill="FFFFFF"/>
        </w:rPr>
        <w:t>Materials and methods</w:t>
      </w:r>
      <w:r w:rsidRPr="00905CC1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(</w:t>
      </w:r>
      <w:r w:rsidRPr="00905CC1">
        <w:rPr>
          <w:rFonts w:asciiTheme="minorHAnsi" w:hAnsiTheme="minorHAnsi" w:cstheme="minorHAnsi"/>
          <w:i/>
          <w:sz w:val="20"/>
          <w:szCs w:val="20"/>
          <w:shd w:val="clear" w:color="auto" w:fill="FFFFFF"/>
        </w:rPr>
        <w:t>Participants</w:t>
      </w:r>
      <w:r w:rsidRPr="00905CC1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section, p. </w:t>
      </w:r>
      <w:r w:rsidRPr="00905CC1">
        <w:rPr>
          <w:rFonts w:asciiTheme="minorHAnsi" w:hAnsiTheme="minorHAnsi" w:cstheme="minorHAnsi"/>
          <w:sz w:val="20"/>
          <w:szCs w:val="20"/>
          <w:shd w:val="clear" w:color="auto" w:fill="FFFFFF"/>
        </w:rPr>
        <w:t>26</w:t>
      </w:r>
      <w:r w:rsidRPr="00905CC1">
        <w:rPr>
          <w:rFonts w:asciiTheme="minorHAnsi" w:hAnsiTheme="minorHAnsi" w:cstheme="minorHAnsi"/>
          <w:sz w:val="20"/>
          <w:szCs w:val="20"/>
          <w:shd w:val="clear" w:color="auto" w:fill="FFFFFF"/>
        </w:rPr>
        <w:t>).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DC8EC33" w14:textId="77777777" w:rsidR="007F7442" w:rsidRPr="00905CC1" w:rsidRDefault="007F7442" w:rsidP="00905CC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0"/>
          <w:szCs w:val="20"/>
        </w:rPr>
      </w:pPr>
      <w:r w:rsidRPr="00905CC1">
        <w:rPr>
          <w:rFonts w:asciiTheme="minorHAnsi" w:hAnsiTheme="minorHAnsi"/>
          <w:sz w:val="20"/>
          <w:szCs w:val="20"/>
        </w:rPr>
        <w:t>No replications were performed in this study.</w:t>
      </w:r>
    </w:p>
    <w:p w14:paraId="401A23D0" w14:textId="37098267" w:rsidR="007F7442" w:rsidRPr="00905CC1" w:rsidRDefault="007F7442" w:rsidP="00905CC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905CC1">
        <w:rPr>
          <w:rFonts w:asciiTheme="minorHAnsi" w:hAnsiTheme="minorHAnsi"/>
          <w:sz w:val="20"/>
          <w:szCs w:val="20"/>
        </w:rPr>
        <w:t xml:space="preserve">Information about removal of outlier subjects can be found in </w:t>
      </w:r>
      <w:r w:rsidRPr="00905CC1">
        <w:rPr>
          <w:rFonts w:asciiTheme="minorHAnsi" w:hAnsiTheme="minorHAnsi" w:cstheme="minorHAnsi"/>
          <w:i/>
          <w:sz w:val="20"/>
          <w:szCs w:val="20"/>
          <w:shd w:val="clear" w:color="auto" w:fill="FFFFFF"/>
        </w:rPr>
        <w:t>Materials and methods</w:t>
      </w:r>
      <w:r w:rsidRPr="00905CC1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(</w:t>
      </w:r>
      <w:r w:rsidRPr="00905CC1">
        <w:rPr>
          <w:rFonts w:asciiTheme="minorHAnsi" w:hAnsiTheme="minorHAnsi" w:cstheme="minorHAnsi"/>
          <w:i/>
          <w:sz w:val="20"/>
          <w:szCs w:val="20"/>
          <w:shd w:val="clear" w:color="auto" w:fill="FFFFFF"/>
        </w:rPr>
        <w:t>Participants</w:t>
      </w:r>
      <w:r w:rsidRPr="00905CC1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section, p. </w:t>
      </w:r>
      <w:r w:rsidRPr="00905CC1">
        <w:rPr>
          <w:rFonts w:asciiTheme="minorHAnsi" w:hAnsiTheme="minorHAnsi" w:cstheme="minorHAnsi"/>
          <w:sz w:val="20"/>
          <w:szCs w:val="20"/>
          <w:shd w:val="clear" w:color="auto" w:fill="FFFFFF"/>
        </w:rPr>
        <w:t>26</w:t>
      </w:r>
      <w:r w:rsidRPr="00905CC1">
        <w:rPr>
          <w:rFonts w:asciiTheme="minorHAnsi" w:hAnsiTheme="minorHAnsi" w:cstheme="minorHAnsi"/>
          <w:sz w:val="20"/>
          <w:szCs w:val="20"/>
          <w:shd w:val="clear" w:color="auto" w:fill="FFFFFF"/>
        </w:rPr>
        <w:t>). No outlier removal was applied at the within-subject (i.e., trial) level of analysis.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423DA177" w14:textId="1AFDC11B" w:rsidR="00B124CC" w:rsidRPr="00505C51" w:rsidRDefault="0015519A" w:rsidP="00FF5ED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</w:rPr>
        <w:br w:type="page"/>
      </w:r>
      <w:r w:rsidR="00AF5736"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BDADF80" w14:textId="338090C9" w:rsidR="007F7442" w:rsidRPr="004D38AF" w:rsidRDefault="007F7442" w:rsidP="007F744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0"/>
          <w:szCs w:val="20"/>
        </w:rPr>
      </w:pPr>
      <w:r w:rsidRPr="004D38AF">
        <w:rPr>
          <w:rFonts w:asciiTheme="minorHAnsi" w:hAnsiTheme="minorHAnsi" w:cstheme="minorHAnsi"/>
          <w:sz w:val="20"/>
          <w:szCs w:val="20"/>
        </w:rPr>
        <w:t xml:space="preserve">Subject-averaged Pearson’s R statistics are reported for within-subject correlation analyses. </w:t>
      </w:r>
      <w:r w:rsidR="00182CE4">
        <w:rPr>
          <w:rFonts w:asciiTheme="minorHAnsi" w:hAnsiTheme="minorHAnsi" w:cstheme="minorHAnsi"/>
          <w:sz w:val="20"/>
          <w:szCs w:val="20"/>
        </w:rPr>
        <w:t>The c</w:t>
      </w:r>
      <w:r w:rsidR="00D60920">
        <w:rPr>
          <w:rFonts w:asciiTheme="minorHAnsi" w:hAnsiTheme="minorHAnsi" w:cstheme="minorHAnsi"/>
          <w:sz w:val="20"/>
          <w:szCs w:val="20"/>
        </w:rPr>
        <w:t xml:space="preserve">orrelation </w:t>
      </w:r>
      <w:r w:rsidR="00182CE4">
        <w:rPr>
          <w:rFonts w:asciiTheme="minorHAnsi" w:hAnsiTheme="minorHAnsi" w:cstheme="minorHAnsi"/>
          <w:sz w:val="20"/>
          <w:szCs w:val="20"/>
        </w:rPr>
        <w:t xml:space="preserve">coefficient </w:t>
      </w:r>
      <w:r w:rsidR="00D60920" w:rsidRPr="00D60920">
        <w:rPr>
          <w:rFonts w:asciiTheme="minorHAnsi" w:hAnsiTheme="minorHAnsi" w:cstheme="minorHAnsi"/>
          <w:sz w:val="20"/>
          <w:szCs w:val="20"/>
        </w:rPr>
        <w:t xml:space="preserve">reported in </w:t>
      </w:r>
      <w:r w:rsidR="00182CE4" w:rsidRPr="00182CE4">
        <w:rPr>
          <w:rFonts w:asciiTheme="minorHAnsi" w:hAnsiTheme="minorHAnsi" w:cstheme="minorHAnsi"/>
          <w:i/>
          <w:sz w:val="20"/>
          <w:szCs w:val="20"/>
        </w:rPr>
        <w:t>Results</w:t>
      </w:r>
      <w:r w:rsidR="00182CE4">
        <w:rPr>
          <w:rFonts w:asciiTheme="minorHAnsi" w:hAnsiTheme="minorHAnsi" w:cstheme="minorHAnsi"/>
          <w:sz w:val="20"/>
          <w:szCs w:val="20"/>
        </w:rPr>
        <w:t xml:space="preserve">, </w:t>
      </w:r>
      <w:r w:rsidR="00D60920" w:rsidRPr="00D60920">
        <w:rPr>
          <w:rFonts w:asciiTheme="minorHAnsi" w:hAnsiTheme="minorHAnsi" w:cstheme="minorHAnsi"/>
          <w:i/>
          <w:sz w:val="20"/>
          <w:szCs w:val="20"/>
        </w:rPr>
        <w:t>Dynamic model of decision making</w:t>
      </w:r>
      <w:r w:rsidR="00D60920" w:rsidRPr="00D60920">
        <w:rPr>
          <w:rFonts w:asciiTheme="minorHAnsi" w:hAnsiTheme="minorHAnsi" w:cstheme="minorHAnsi"/>
          <w:sz w:val="20"/>
          <w:szCs w:val="20"/>
        </w:rPr>
        <w:t xml:space="preserve"> </w:t>
      </w:r>
      <w:r w:rsidR="00182CE4">
        <w:rPr>
          <w:rFonts w:asciiTheme="minorHAnsi" w:hAnsiTheme="minorHAnsi" w:cstheme="minorHAnsi"/>
          <w:sz w:val="20"/>
          <w:szCs w:val="20"/>
        </w:rPr>
        <w:t>section (</w:t>
      </w:r>
      <w:r w:rsidR="00D60920" w:rsidRPr="00D60920">
        <w:rPr>
          <w:rFonts w:asciiTheme="minorHAnsi" w:hAnsiTheme="minorHAnsi" w:cstheme="minorHAnsi"/>
          <w:sz w:val="20"/>
          <w:szCs w:val="20"/>
        </w:rPr>
        <w:t>p. 14</w:t>
      </w:r>
      <w:r w:rsidR="00182CE4">
        <w:rPr>
          <w:rFonts w:asciiTheme="minorHAnsi" w:hAnsiTheme="minorHAnsi" w:cstheme="minorHAnsi"/>
          <w:sz w:val="20"/>
          <w:szCs w:val="20"/>
        </w:rPr>
        <w:t xml:space="preserve">, </w:t>
      </w:r>
      <w:r w:rsidR="00182CE4">
        <w:rPr>
          <w:rFonts w:asciiTheme="minorHAnsi" w:hAnsiTheme="minorHAnsi" w:cstheme="minorHAnsi"/>
          <w:sz w:val="20"/>
          <w:szCs w:val="20"/>
        </w:rPr>
        <w:t xml:space="preserve">depicted in Fig. </w:t>
      </w:r>
      <w:r w:rsidR="00182CE4" w:rsidRPr="00D60920">
        <w:rPr>
          <w:rFonts w:asciiTheme="minorHAnsi" w:hAnsiTheme="minorHAnsi" w:cstheme="minorHAnsi"/>
          <w:sz w:val="20"/>
          <w:szCs w:val="20"/>
        </w:rPr>
        <w:t>3D</w:t>
      </w:r>
      <w:r w:rsidR="00182CE4">
        <w:rPr>
          <w:rFonts w:asciiTheme="minorHAnsi" w:hAnsiTheme="minorHAnsi" w:cstheme="minorHAnsi"/>
          <w:sz w:val="20"/>
          <w:szCs w:val="20"/>
        </w:rPr>
        <w:t>)</w:t>
      </w:r>
      <w:r w:rsidR="00D60920" w:rsidRPr="00D60920">
        <w:rPr>
          <w:rFonts w:asciiTheme="minorHAnsi" w:hAnsiTheme="minorHAnsi" w:cstheme="minorHAnsi"/>
          <w:sz w:val="20"/>
          <w:szCs w:val="20"/>
        </w:rPr>
        <w:t xml:space="preserve"> was </w:t>
      </w:r>
      <w:r w:rsidR="00182CE4">
        <w:rPr>
          <w:rFonts w:asciiTheme="minorHAnsi" w:hAnsiTheme="minorHAnsi" w:cstheme="minorHAnsi"/>
          <w:sz w:val="20"/>
          <w:szCs w:val="20"/>
        </w:rPr>
        <w:t xml:space="preserve">obtained using the more </w:t>
      </w:r>
      <w:r w:rsidR="00182CE4">
        <w:rPr>
          <w:rFonts w:asciiTheme="minorHAnsi" w:hAnsiTheme="minorHAnsi" w:cstheme="minorHAnsi"/>
          <w:sz w:val="20"/>
          <w:szCs w:val="20"/>
          <w:shd w:val="clear" w:color="auto" w:fill="FFFFFF"/>
        </w:rPr>
        <w:t>robust,</w:t>
      </w:r>
      <w:r w:rsidR="00D60920" w:rsidRPr="00D60920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</w:t>
      </w:r>
      <w:r w:rsidR="00182CE4">
        <w:rPr>
          <w:rFonts w:asciiTheme="minorHAnsi" w:hAnsiTheme="minorHAnsi" w:cstheme="minorHAnsi"/>
          <w:sz w:val="20"/>
          <w:szCs w:val="20"/>
          <w:shd w:val="clear" w:color="auto" w:fill="FFFFFF"/>
        </w:rPr>
        <w:t>p</w:t>
      </w:r>
      <w:r w:rsidR="00D60920" w:rsidRPr="00D60920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ercentage bend correlation analysis </w:t>
      </w:r>
      <w:r w:rsidR="00D60920" w:rsidRPr="00D60920">
        <w:rPr>
          <w:rFonts w:asciiTheme="minorHAnsi" w:hAnsiTheme="minorHAnsi" w:cstheme="minorHAnsi"/>
          <w:sz w:val="20"/>
          <w:szCs w:val="20"/>
          <w:shd w:val="clear" w:color="auto" w:fill="FFFFFF"/>
        </w:rPr>
        <w:fldChar w:fldCharType="begin"/>
      </w:r>
      <w:r w:rsidR="00D60920" w:rsidRPr="00D60920">
        <w:rPr>
          <w:rFonts w:asciiTheme="minorHAnsi" w:hAnsiTheme="minorHAnsi" w:cstheme="minorHAnsi"/>
          <w:sz w:val="20"/>
          <w:szCs w:val="20"/>
          <w:shd w:val="clear" w:color="auto" w:fill="FFFFFF"/>
        </w:rPr>
        <w:instrText xml:space="preserve"> ADDIN EN.CITE &lt;EndNote&gt;&lt;Cite&gt;&lt;Author&gt;Wilcox&lt;/Author&gt;&lt;Year&gt;1994&lt;/Year&gt;&lt;RecNum&gt;85&lt;/RecNum&gt;&lt;DisplayText&gt;(Wilcox, 1994)&lt;/DisplayText&gt;&lt;record&gt;&lt;rec-number&gt;85&lt;/rec-number&gt;&lt;foreign-keys&gt;&lt;key app="EN" db-id="x9ttw9rvntsp5yewaa050zwvpwsxddz5azrv"&gt;85&lt;/key&gt;&lt;/foreign-keys&gt;&lt;ref-type name="Journal Article"&gt;17&lt;/ref-type&gt;&lt;contributors&gt;&lt;authors&gt;&lt;author&gt;Wilcox, Rand R&lt;/author&gt;&lt;/authors&gt;&lt;/contributors&gt;&lt;titles&gt;&lt;title&gt;The percentage bend correlation coefficient&lt;/title&gt;&lt;secondary-title&gt;Psychometrika&lt;/secondary-title&gt;&lt;/titles&gt;&lt;periodical&gt;&lt;full-title&gt;Psychometrika&lt;/full-title&gt;&lt;/periodical&gt;&lt;pages&gt;601-616&lt;/pages&gt;&lt;volume&gt;59&lt;/volume&gt;&lt;number&gt;4&lt;/number&gt;&lt;dates&gt;&lt;year&gt;1994&lt;/year&gt;&lt;/dates&gt;&lt;isbn&gt;0033-3123&lt;/isbn&gt;&lt;urls&gt;&lt;/urls&gt;&lt;/record&gt;&lt;/Cite&gt;&lt;Cite&gt;&lt;Author&gt;Wilcox&lt;/Author&gt;&lt;Year&gt;1994&lt;/Year&gt;&lt;RecNum&gt;85&lt;/RecNum&gt;&lt;record&gt;&lt;rec-number&gt;85&lt;/rec-number&gt;&lt;foreign-keys&gt;&lt;key app="EN" db-id="x9ttw9rvntsp5yewaa050zwvpwsxddz5azrv"&gt;85&lt;/key&gt;&lt;/foreign-keys&gt;&lt;ref-type name="Journal Article"&gt;17&lt;/ref-type&gt;&lt;contributors&gt;&lt;authors&gt;&lt;author&gt;Wilcox, Rand R&lt;/author&gt;&lt;/authors&gt;&lt;/contributors&gt;&lt;titles&gt;&lt;title&gt;The percentage bend correlation coefficient&lt;/title&gt;&lt;secondary-title&gt;Psychometrika&lt;/secondary-title&gt;&lt;/titles&gt;&lt;periodical&gt;&lt;full-title&gt;Psychometrika&lt;/full-title&gt;&lt;/periodical&gt;&lt;pages&gt;601-616&lt;/pages&gt;&lt;volume&gt;59&lt;/volume&gt;&lt;number&gt;4&lt;/number&gt;&lt;dates&gt;&lt;year&gt;1994&lt;/year&gt;&lt;/dates&gt;&lt;isbn&gt;0033-3123&lt;/isbn&gt;&lt;urls&gt;&lt;/urls&gt;&lt;/record&gt;&lt;/Cite&gt;&lt;/EndNote&gt;</w:instrText>
      </w:r>
      <w:r w:rsidR="00D60920" w:rsidRPr="00D60920">
        <w:rPr>
          <w:rFonts w:asciiTheme="minorHAnsi" w:hAnsiTheme="minorHAnsi" w:cstheme="minorHAnsi"/>
          <w:sz w:val="20"/>
          <w:szCs w:val="20"/>
          <w:shd w:val="clear" w:color="auto" w:fill="FFFFFF"/>
        </w:rPr>
        <w:fldChar w:fldCharType="separate"/>
      </w:r>
      <w:r w:rsidR="00D60920" w:rsidRPr="00D60920">
        <w:rPr>
          <w:rFonts w:asciiTheme="minorHAnsi" w:hAnsiTheme="minorHAnsi" w:cstheme="minorHAnsi"/>
          <w:noProof/>
          <w:sz w:val="20"/>
          <w:szCs w:val="20"/>
          <w:shd w:val="clear" w:color="auto" w:fill="FFFFFF"/>
        </w:rPr>
        <w:t>(</w:t>
      </w:r>
      <w:hyperlink w:anchor="_ENREF_47" w:tooltip="Wilcox, 1994 #85" w:history="1">
        <w:r w:rsidR="00D60920" w:rsidRPr="00D60920">
          <w:rPr>
            <w:rFonts w:asciiTheme="minorHAnsi" w:hAnsiTheme="minorHAnsi" w:cstheme="minorHAnsi"/>
            <w:noProof/>
            <w:sz w:val="20"/>
            <w:szCs w:val="20"/>
            <w:shd w:val="clear" w:color="auto" w:fill="FFFFFF"/>
          </w:rPr>
          <w:t>Wilcox, 1994</w:t>
        </w:r>
      </w:hyperlink>
      <w:r w:rsidR="00D60920" w:rsidRPr="00D60920">
        <w:rPr>
          <w:rFonts w:asciiTheme="minorHAnsi" w:hAnsiTheme="minorHAnsi" w:cstheme="minorHAnsi"/>
          <w:noProof/>
          <w:sz w:val="20"/>
          <w:szCs w:val="20"/>
          <w:shd w:val="clear" w:color="auto" w:fill="FFFFFF"/>
        </w:rPr>
        <w:t>)</w:t>
      </w:r>
      <w:r w:rsidR="00D60920" w:rsidRPr="00D60920">
        <w:rPr>
          <w:rFonts w:asciiTheme="minorHAnsi" w:hAnsiTheme="minorHAnsi" w:cstheme="minorHAnsi"/>
          <w:sz w:val="20"/>
          <w:szCs w:val="20"/>
          <w:shd w:val="clear" w:color="auto" w:fill="FFFFFF"/>
        </w:rPr>
        <w:fldChar w:fldCharType="end"/>
      </w:r>
      <w:r w:rsidR="00D60920" w:rsidRPr="00D60920">
        <w:rPr>
          <w:rFonts w:asciiTheme="minorHAnsi" w:hAnsiTheme="minorHAnsi" w:cstheme="minorHAnsi"/>
          <w:sz w:val="20"/>
          <w:szCs w:val="20"/>
          <w:shd w:val="clear" w:color="auto" w:fill="FFFFFF"/>
        </w:rPr>
        <w:t>.</w:t>
      </w:r>
      <w:r w:rsidR="00D60920" w:rsidRPr="00D60920">
        <w:rPr>
          <w:rFonts w:asciiTheme="minorHAnsi" w:hAnsiTheme="minorHAnsi" w:cstheme="minorHAnsi"/>
          <w:sz w:val="20"/>
          <w:szCs w:val="20"/>
        </w:rPr>
        <w:t xml:space="preserve"> </w:t>
      </w:r>
      <w:r w:rsidRPr="00D60920">
        <w:rPr>
          <w:rFonts w:asciiTheme="minorHAnsi" w:hAnsiTheme="minorHAnsi" w:cstheme="minorHAnsi"/>
          <w:sz w:val="20"/>
          <w:szCs w:val="20"/>
        </w:rPr>
        <w:t xml:space="preserve">Group-level significance of correlation coefficients was assessed using one-sample t-tests. Relevant statistical tests are reported in </w:t>
      </w:r>
      <w:r w:rsidRPr="00D60920">
        <w:rPr>
          <w:rFonts w:asciiTheme="minorHAnsi" w:hAnsiTheme="minorHAnsi" w:cstheme="minorHAnsi"/>
          <w:i/>
          <w:sz w:val="20"/>
          <w:szCs w:val="20"/>
        </w:rPr>
        <w:t>Results</w:t>
      </w:r>
      <w:r w:rsidRPr="00D60920">
        <w:rPr>
          <w:rFonts w:asciiTheme="minorHAnsi" w:hAnsiTheme="minorHAnsi" w:cstheme="minorHAnsi"/>
          <w:sz w:val="20"/>
          <w:szCs w:val="20"/>
        </w:rPr>
        <w:t xml:space="preserve"> (</w:t>
      </w:r>
      <w:r w:rsidRPr="00D60920">
        <w:rPr>
          <w:rFonts w:asciiTheme="minorHAnsi" w:hAnsiTheme="minorHAnsi" w:cstheme="minorHAnsi"/>
          <w:i/>
          <w:sz w:val="20"/>
          <w:szCs w:val="20"/>
        </w:rPr>
        <w:t>Behaviour</w:t>
      </w:r>
      <w:r w:rsidRPr="00D60920">
        <w:rPr>
          <w:rFonts w:asciiTheme="minorHAnsi" w:hAnsiTheme="minorHAnsi" w:cstheme="minorHAnsi"/>
          <w:sz w:val="20"/>
          <w:szCs w:val="20"/>
        </w:rPr>
        <w:t xml:space="preserve"> and </w:t>
      </w:r>
      <w:r w:rsidRPr="00D60920">
        <w:rPr>
          <w:rFonts w:asciiTheme="minorHAnsi" w:hAnsiTheme="minorHAnsi" w:cstheme="minorHAnsi"/>
          <w:i/>
          <w:sz w:val="20"/>
          <w:szCs w:val="20"/>
        </w:rPr>
        <w:t>EEG-derived measure of confidence</w:t>
      </w:r>
      <w:r w:rsidRPr="00D60920">
        <w:rPr>
          <w:rFonts w:asciiTheme="minorHAnsi" w:hAnsiTheme="minorHAnsi" w:cstheme="minorHAnsi"/>
          <w:sz w:val="20"/>
          <w:szCs w:val="20"/>
        </w:rPr>
        <w:t xml:space="preserve"> </w:t>
      </w:r>
      <w:r w:rsidRPr="004D38AF">
        <w:rPr>
          <w:rFonts w:asciiTheme="minorHAnsi" w:hAnsiTheme="minorHAnsi" w:cstheme="minorHAnsi"/>
          <w:sz w:val="20"/>
          <w:szCs w:val="20"/>
        </w:rPr>
        <w:t xml:space="preserve">sections, p. </w:t>
      </w:r>
      <w:r w:rsidR="004D38AF">
        <w:rPr>
          <w:rFonts w:asciiTheme="minorHAnsi" w:hAnsiTheme="minorHAnsi" w:cstheme="minorHAnsi"/>
          <w:sz w:val="20"/>
          <w:szCs w:val="20"/>
        </w:rPr>
        <w:t>5</w:t>
      </w:r>
      <w:r w:rsidR="00D60920">
        <w:rPr>
          <w:rFonts w:asciiTheme="minorHAnsi" w:hAnsiTheme="minorHAnsi" w:cstheme="minorHAnsi"/>
          <w:sz w:val="20"/>
          <w:szCs w:val="20"/>
        </w:rPr>
        <w:t>/</w:t>
      </w:r>
      <w:r w:rsidR="004D38AF">
        <w:rPr>
          <w:rFonts w:asciiTheme="minorHAnsi" w:hAnsiTheme="minorHAnsi" w:cstheme="minorHAnsi"/>
          <w:sz w:val="20"/>
          <w:szCs w:val="20"/>
        </w:rPr>
        <w:t>6</w:t>
      </w:r>
      <w:r w:rsidRPr="004D38AF">
        <w:rPr>
          <w:rFonts w:asciiTheme="minorHAnsi" w:hAnsiTheme="minorHAnsi" w:cstheme="minorHAnsi"/>
          <w:sz w:val="20"/>
          <w:szCs w:val="20"/>
        </w:rPr>
        <w:t xml:space="preserve"> </w:t>
      </w:r>
      <w:r w:rsidR="004D38AF">
        <w:rPr>
          <w:rFonts w:asciiTheme="minorHAnsi" w:hAnsiTheme="minorHAnsi" w:cstheme="minorHAnsi"/>
          <w:sz w:val="20"/>
          <w:szCs w:val="20"/>
        </w:rPr>
        <w:t>and p. 1</w:t>
      </w:r>
      <w:r w:rsidR="002226F9">
        <w:rPr>
          <w:rFonts w:asciiTheme="minorHAnsi" w:hAnsiTheme="minorHAnsi" w:cstheme="minorHAnsi"/>
          <w:sz w:val="20"/>
          <w:szCs w:val="20"/>
        </w:rPr>
        <w:t>0</w:t>
      </w:r>
      <w:r w:rsidR="00D60920">
        <w:rPr>
          <w:rFonts w:asciiTheme="minorHAnsi" w:hAnsiTheme="minorHAnsi" w:cstheme="minorHAnsi"/>
          <w:sz w:val="20"/>
          <w:szCs w:val="20"/>
        </w:rPr>
        <w:t>/</w:t>
      </w:r>
      <w:r w:rsidR="002226F9">
        <w:rPr>
          <w:rFonts w:asciiTheme="minorHAnsi" w:hAnsiTheme="minorHAnsi" w:cstheme="minorHAnsi"/>
          <w:sz w:val="20"/>
          <w:szCs w:val="20"/>
        </w:rPr>
        <w:t>12</w:t>
      </w:r>
      <w:r w:rsidRPr="004D38AF">
        <w:rPr>
          <w:rFonts w:asciiTheme="minorHAnsi" w:hAnsiTheme="minorHAnsi" w:cstheme="minorHAnsi"/>
          <w:sz w:val="20"/>
          <w:szCs w:val="20"/>
        </w:rPr>
        <w:t xml:space="preserve">, respectively). </w:t>
      </w:r>
    </w:p>
    <w:p w14:paraId="26BD1621" w14:textId="77777777" w:rsidR="007F7442" w:rsidRPr="004D38AF" w:rsidRDefault="007F7442" w:rsidP="007F744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3F06C7A8" w14:textId="1EB4C4EA" w:rsidR="007F7442" w:rsidRPr="004D38AF" w:rsidRDefault="007F7442" w:rsidP="007F744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0"/>
          <w:szCs w:val="20"/>
        </w:rPr>
      </w:pPr>
      <w:r w:rsidRPr="004D38AF">
        <w:rPr>
          <w:rFonts w:asciiTheme="minorHAnsi" w:hAnsiTheme="minorHAnsi" w:cstheme="minorHAnsi"/>
          <w:sz w:val="20"/>
          <w:szCs w:val="20"/>
        </w:rPr>
        <w:t>Subject-averaged R</w:t>
      </w:r>
      <w:r w:rsidRPr="004D38AF">
        <w:rPr>
          <w:rFonts w:asciiTheme="minorHAnsi" w:hAnsiTheme="minorHAnsi" w:cstheme="minorHAnsi"/>
          <w:sz w:val="20"/>
          <w:szCs w:val="20"/>
          <w:vertAlign w:val="superscript"/>
        </w:rPr>
        <w:t>2</w:t>
      </w:r>
      <w:r w:rsidRPr="004D38AF">
        <w:rPr>
          <w:rFonts w:asciiTheme="minorHAnsi" w:hAnsiTheme="minorHAnsi" w:cstheme="minorHAnsi"/>
          <w:sz w:val="20"/>
          <w:szCs w:val="20"/>
        </w:rPr>
        <w:t xml:space="preserve"> statistics are reported for within-subject serial autocorrelation regression analyses (see </w:t>
      </w:r>
      <w:r w:rsidRPr="004D38AF">
        <w:rPr>
          <w:rFonts w:asciiTheme="minorHAnsi" w:hAnsiTheme="minorHAnsi" w:cstheme="minorHAnsi"/>
          <w:i/>
          <w:sz w:val="20"/>
          <w:szCs w:val="20"/>
        </w:rPr>
        <w:t>Results, Behaviour</w:t>
      </w:r>
      <w:r w:rsidRPr="004D38AF">
        <w:rPr>
          <w:rFonts w:asciiTheme="minorHAnsi" w:hAnsiTheme="minorHAnsi" w:cstheme="minorHAnsi"/>
          <w:sz w:val="20"/>
          <w:szCs w:val="20"/>
        </w:rPr>
        <w:t xml:space="preserve"> and </w:t>
      </w:r>
      <w:r w:rsidRPr="004D38AF">
        <w:rPr>
          <w:rFonts w:asciiTheme="minorHAnsi" w:hAnsiTheme="minorHAnsi" w:cstheme="minorHAnsi"/>
          <w:i/>
          <w:sz w:val="20"/>
          <w:szCs w:val="20"/>
        </w:rPr>
        <w:t>EEG-derived measure of confidence</w:t>
      </w:r>
      <w:r w:rsidRPr="004D38AF">
        <w:rPr>
          <w:rFonts w:asciiTheme="minorHAnsi" w:hAnsiTheme="minorHAnsi" w:cstheme="minorHAnsi"/>
          <w:sz w:val="20"/>
          <w:szCs w:val="20"/>
        </w:rPr>
        <w:t xml:space="preserve"> sections, p. </w:t>
      </w:r>
      <w:r w:rsidR="004D38AF">
        <w:rPr>
          <w:rFonts w:asciiTheme="minorHAnsi" w:hAnsiTheme="minorHAnsi" w:cstheme="minorHAnsi"/>
          <w:sz w:val="20"/>
          <w:szCs w:val="20"/>
        </w:rPr>
        <w:t>7</w:t>
      </w:r>
      <w:r w:rsidRPr="004D38AF">
        <w:rPr>
          <w:rFonts w:asciiTheme="minorHAnsi" w:hAnsiTheme="minorHAnsi" w:cstheme="minorHAnsi"/>
          <w:sz w:val="20"/>
          <w:szCs w:val="20"/>
        </w:rPr>
        <w:t xml:space="preserve"> and </w:t>
      </w:r>
      <w:r w:rsidR="004D38AF">
        <w:rPr>
          <w:rFonts w:asciiTheme="minorHAnsi" w:hAnsiTheme="minorHAnsi" w:cstheme="minorHAnsi"/>
          <w:sz w:val="20"/>
          <w:szCs w:val="20"/>
        </w:rPr>
        <w:t>11</w:t>
      </w:r>
      <w:r w:rsidRPr="004D38AF">
        <w:rPr>
          <w:rFonts w:asciiTheme="minorHAnsi" w:hAnsiTheme="minorHAnsi" w:cstheme="minorHAnsi"/>
          <w:sz w:val="20"/>
          <w:szCs w:val="20"/>
        </w:rPr>
        <w:t>, respectively)</w:t>
      </w:r>
    </w:p>
    <w:p w14:paraId="02263F71" w14:textId="77777777" w:rsidR="007F7442" w:rsidRPr="004D38AF" w:rsidRDefault="007F7442" w:rsidP="007F744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105C8980" w14:textId="1B54AAB1" w:rsidR="007F7442" w:rsidRPr="004D38AF" w:rsidRDefault="007F7442" w:rsidP="007F744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eastAsiaTheme="minorEastAsia" w:hAnsiTheme="minorHAnsi" w:cstheme="minorHAnsi"/>
          <w:bCs/>
          <w:sz w:val="20"/>
          <w:szCs w:val="20"/>
        </w:rPr>
      </w:pPr>
      <w:r w:rsidRPr="004D38AF">
        <w:rPr>
          <w:rFonts w:asciiTheme="minorHAnsi" w:hAnsiTheme="minorHAnsi" w:cstheme="minorHAnsi"/>
          <w:sz w:val="20"/>
          <w:szCs w:val="20"/>
        </w:rPr>
        <w:t xml:space="preserve">Quantification and significance thresholding of the EEG multivariate classification results are described in </w:t>
      </w:r>
      <w:r w:rsidRPr="004D38AF">
        <w:rPr>
          <w:rFonts w:asciiTheme="minorHAnsi" w:hAnsiTheme="minorHAnsi" w:cstheme="minorHAnsi"/>
          <w:i/>
          <w:sz w:val="20"/>
          <w:szCs w:val="20"/>
        </w:rPr>
        <w:t xml:space="preserve">Materials and methods </w:t>
      </w:r>
      <w:r w:rsidRPr="004D38AF">
        <w:rPr>
          <w:rFonts w:asciiTheme="minorHAnsi" w:hAnsiTheme="minorHAnsi" w:cstheme="minorHAnsi"/>
          <w:sz w:val="20"/>
          <w:szCs w:val="20"/>
        </w:rPr>
        <w:t>(</w:t>
      </w:r>
      <w:r w:rsidRPr="004D38AF">
        <w:rPr>
          <w:rFonts w:asciiTheme="minorHAnsi" w:eastAsiaTheme="minorEastAsia" w:hAnsiTheme="minorHAnsi" w:cstheme="minorHAnsi"/>
          <w:bCs/>
          <w:i/>
          <w:sz w:val="20"/>
          <w:szCs w:val="20"/>
        </w:rPr>
        <w:t>Single-trial EEG analysis</w:t>
      </w:r>
      <w:r w:rsidRPr="004D38AF">
        <w:rPr>
          <w:rFonts w:asciiTheme="minorHAnsi" w:eastAsiaTheme="minorEastAsia" w:hAnsiTheme="minorHAnsi" w:cstheme="minorHAnsi"/>
          <w:bCs/>
          <w:sz w:val="20"/>
          <w:szCs w:val="20"/>
        </w:rPr>
        <w:t xml:space="preserve"> section, p. </w:t>
      </w:r>
      <w:r w:rsidR="00182CE4">
        <w:rPr>
          <w:rFonts w:asciiTheme="minorHAnsi" w:eastAsiaTheme="minorEastAsia" w:hAnsiTheme="minorHAnsi" w:cstheme="minorHAnsi"/>
          <w:bCs/>
          <w:sz w:val="20"/>
          <w:szCs w:val="20"/>
        </w:rPr>
        <w:t>32/33</w:t>
      </w:r>
      <w:r w:rsidRPr="004D38AF">
        <w:rPr>
          <w:rFonts w:asciiTheme="minorHAnsi" w:eastAsiaTheme="minorEastAsia" w:hAnsiTheme="minorHAnsi" w:cstheme="minorHAnsi"/>
          <w:bCs/>
          <w:sz w:val="20"/>
          <w:szCs w:val="20"/>
        </w:rPr>
        <w:t xml:space="preserve">). </w:t>
      </w:r>
    </w:p>
    <w:p w14:paraId="4913B6DD" w14:textId="77777777" w:rsidR="007F7442" w:rsidRPr="004D38AF" w:rsidRDefault="007F7442" w:rsidP="007F744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145B1215" w14:textId="55114667" w:rsidR="007F7442" w:rsidRPr="004D38AF" w:rsidRDefault="007F7442" w:rsidP="007F744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eastAsiaTheme="minorEastAsia" w:hAnsiTheme="minorHAnsi" w:cstheme="minorHAnsi"/>
          <w:bCs/>
          <w:sz w:val="20"/>
          <w:szCs w:val="20"/>
        </w:rPr>
      </w:pPr>
      <w:r w:rsidRPr="004D38AF">
        <w:rPr>
          <w:rFonts w:asciiTheme="minorHAnsi" w:hAnsiTheme="minorHAnsi" w:cstheme="minorHAnsi"/>
          <w:sz w:val="20"/>
          <w:szCs w:val="20"/>
        </w:rPr>
        <w:t xml:space="preserve">Information about statistical analysis and correction for multiple comparisons of the fMRI data is found in </w:t>
      </w:r>
      <w:r w:rsidRPr="004D38AF">
        <w:rPr>
          <w:rFonts w:asciiTheme="minorHAnsi" w:hAnsiTheme="minorHAnsi" w:cstheme="minorHAnsi"/>
          <w:i/>
          <w:sz w:val="20"/>
          <w:szCs w:val="20"/>
        </w:rPr>
        <w:t>Materials and methods</w:t>
      </w:r>
      <w:r w:rsidRPr="004D38AF">
        <w:rPr>
          <w:rFonts w:asciiTheme="minorHAnsi" w:hAnsiTheme="minorHAnsi" w:cstheme="minorHAnsi"/>
          <w:sz w:val="20"/>
          <w:szCs w:val="20"/>
        </w:rPr>
        <w:t xml:space="preserve"> (</w:t>
      </w:r>
      <w:r w:rsidRPr="004D38AF">
        <w:rPr>
          <w:rFonts w:asciiTheme="minorHAnsi" w:hAnsiTheme="minorHAnsi" w:cstheme="minorHAnsi"/>
          <w:i/>
          <w:sz w:val="20"/>
          <w:szCs w:val="20"/>
        </w:rPr>
        <w:t>Resampling procedure for fMRI thresholding</w:t>
      </w:r>
      <w:r w:rsidRPr="004D38AF">
        <w:rPr>
          <w:rFonts w:asciiTheme="minorHAnsi" w:eastAsiaTheme="minorEastAsia" w:hAnsiTheme="minorHAnsi" w:cstheme="minorHAnsi"/>
          <w:bCs/>
          <w:sz w:val="20"/>
          <w:szCs w:val="20"/>
        </w:rPr>
        <w:t xml:space="preserve"> </w:t>
      </w:r>
      <w:r w:rsidR="00182CE4">
        <w:rPr>
          <w:rFonts w:asciiTheme="minorHAnsi" w:eastAsiaTheme="minorEastAsia" w:hAnsiTheme="minorHAnsi" w:cstheme="minorHAnsi"/>
          <w:bCs/>
          <w:sz w:val="20"/>
          <w:szCs w:val="20"/>
        </w:rPr>
        <w:t>section, p. 40</w:t>
      </w:r>
      <w:r w:rsidRPr="004D38AF">
        <w:rPr>
          <w:rFonts w:asciiTheme="minorHAnsi" w:eastAsiaTheme="minorEastAsia" w:hAnsiTheme="minorHAnsi" w:cstheme="minorHAnsi"/>
          <w:bCs/>
          <w:sz w:val="20"/>
          <w:szCs w:val="20"/>
        </w:rPr>
        <w:t xml:space="preserve">). </w:t>
      </w:r>
    </w:p>
    <w:p w14:paraId="04D16249" w14:textId="77777777" w:rsidR="007F7442" w:rsidRPr="004D38AF" w:rsidRDefault="007F7442" w:rsidP="007F744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eastAsiaTheme="minorEastAsia" w:hAnsiTheme="minorHAnsi" w:cstheme="minorHAnsi"/>
          <w:bCs/>
          <w:sz w:val="20"/>
          <w:szCs w:val="20"/>
        </w:rPr>
      </w:pPr>
    </w:p>
    <w:p w14:paraId="614D6089" w14:textId="4322EFA8" w:rsidR="0015519A" w:rsidRDefault="007F7442" w:rsidP="007F744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0"/>
          <w:szCs w:val="20"/>
        </w:rPr>
      </w:pPr>
      <w:r w:rsidRPr="004D38AF">
        <w:rPr>
          <w:rFonts w:asciiTheme="minorHAnsi" w:eastAsiaTheme="minorEastAsia" w:hAnsiTheme="minorHAnsi" w:cstheme="minorHAnsi"/>
          <w:bCs/>
          <w:sz w:val="20"/>
          <w:szCs w:val="20"/>
        </w:rPr>
        <w:t>Exact p</w:t>
      </w:r>
      <w:r w:rsidRPr="004D38AF">
        <w:rPr>
          <w:rFonts w:asciiTheme="minorHAnsi" w:hAnsiTheme="minorHAnsi" w:cstheme="minorHAnsi"/>
          <w:sz w:val="20"/>
          <w:szCs w:val="20"/>
        </w:rPr>
        <w:t>-values are reported</w:t>
      </w:r>
      <w:r w:rsidR="007F3DC8">
        <w:rPr>
          <w:rFonts w:asciiTheme="minorHAnsi" w:hAnsiTheme="minorHAnsi" w:cstheme="minorHAnsi"/>
          <w:sz w:val="20"/>
          <w:szCs w:val="20"/>
        </w:rPr>
        <w:t xml:space="preserve"> for all statistical tests</w:t>
      </w:r>
      <w:r w:rsidR="00CB2108">
        <w:rPr>
          <w:rFonts w:asciiTheme="minorHAnsi" w:hAnsiTheme="minorHAnsi" w:cstheme="minorHAnsi"/>
          <w:sz w:val="20"/>
          <w:szCs w:val="20"/>
        </w:rPr>
        <w:t xml:space="preserve"> in </w:t>
      </w:r>
      <w:r w:rsidR="00CB2108" w:rsidRPr="00CB2108">
        <w:rPr>
          <w:rFonts w:asciiTheme="minorHAnsi" w:hAnsiTheme="minorHAnsi" w:cstheme="minorHAnsi"/>
          <w:i/>
          <w:sz w:val="20"/>
          <w:szCs w:val="20"/>
        </w:rPr>
        <w:t>Results</w:t>
      </w:r>
      <w:r w:rsidR="00CB2108">
        <w:rPr>
          <w:rFonts w:asciiTheme="minorHAnsi" w:hAnsiTheme="minorHAnsi" w:cstheme="minorHAnsi"/>
          <w:sz w:val="20"/>
          <w:szCs w:val="20"/>
        </w:rPr>
        <w:t xml:space="preserve"> (p. 5-20)</w:t>
      </w:r>
      <w:r w:rsidRPr="004D38AF">
        <w:rPr>
          <w:rFonts w:asciiTheme="minorHAnsi" w:hAnsiTheme="minorHAnsi" w:cstheme="minorHAnsi"/>
          <w:sz w:val="20"/>
          <w:szCs w:val="20"/>
        </w:rPr>
        <w:t>, except for cases where these are trivially small, in which case we report them as p&lt;0.001.</w:t>
      </w:r>
    </w:p>
    <w:p w14:paraId="66204796" w14:textId="77777777" w:rsidR="00814302" w:rsidRDefault="00814302" w:rsidP="007F744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345A5855" w14:textId="176C8162" w:rsidR="00814302" w:rsidRPr="004D38AF" w:rsidRDefault="00814302" w:rsidP="007F744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Single-subject data is shown for behavioural (Fig. 1, p. 6</w:t>
      </w:r>
      <w:r w:rsidR="00CB2108">
        <w:rPr>
          <w:rFonts w:asciiTheme="minorHAnsi" w:hAnsiTheme="minorHAnsi" w:cstheme="minorHAnsi"/>
          <w:sz w:val="20"/>
          <w:szCs w:val="20"/>
        </w:rPr>
        <w:t>),</w:t>
      </w:r>
      <w:r>
        <w:rPr>
          <w:rFonts w:asciiTheme="minorHAnsi" w:hAnsiTheme="minorHAnsi" w:cstheme="minorHAnsi"/>
          <w:sz w:val="20"/>
          <w:szCs w:val="20"/>
        </w:rPr>
        <w:t xml:space="preserve"> EEG (Fig. 2, p. 8), and computational modeling results (Fig. 3, p. 14, see associated supplementary figures).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8AC5356" w:rsidR="00BC3CCE" w:rsidRPr="00505C51" w:rsidRDefault="00CB210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13B2A01B" w14:textId="18EE54BD" w:rsidR="00CB2108" w:rsidRPr="00905CC1" w:rsidRDefault="00CB2108" w:rsidP="00CB210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905CC1">
        <w:rPr>
          <w:rFonts w:asciiTheme="minorHAnsi" w:hAnsiTheme="minorHAnsi"/>
          <w:sz w:val="20"/>
          <w:szCs w:val="20"/>
        </w:rPr>
        <w:t>Source data files are</w:t>
      </w:r>
      <w:r w:rsidRPr="00905CC1">
        <w:rPr>
          <w:rFonts w:asciiTheme="minorHAnsi" w:hAnsiTheme="minorHAnsi"/>
          <w:sz w:val="20"/>
          <w:szCs w:val="20"/>
        </w:rPr>
        <w:t xml:space="preserve"> provided for all figures and tables</w:t>
      </w:r>
      <w:r w:rsidR="00D32156">
        <w:rPr>
          <w:rFonts w:asciiTheme="minorHAnsi" w:hAnsiTheme="minorHAnsi"/>
          <w:sz w:val="20"/>
          <w:szCs w:val="20"/>
        </w:rPr>
        <w:t>,</w:t>
      </w:r>
      <w:r w:rsidRPr="00905CC1">
        <w:rPr>
          <w:rFonts w:asciiTheme="minorHAnsi" w:hAnsiTheme="minorHAnsi"/>
          <w:sz w:val="20"/>
          <w:szCs w:val="20"/>
        </w:rPr>
        <w:t xml:space="preserve"> as Matlab code and data</w:t>
      </w:r>
      <w:r w:rsidRPr="00905CC1">
        <w:rPr>
          <w:rFonts w:asciiTheme="minorHAnsi" w:hAnsiTheme="minorHAnsi"/>
          <w:sz w:val="20"/>
          <w:szCs w:val="20"/>
        </w:rPr>
        <w:t>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623A0" w14:textId="77777777" w:rsidR="00172704" w:rsidRDefault="00172704" w:rsidP="004215FE">
      <w:r>
        <w:separator/>
      </w:r>
    </w:p>
  </w:endnote>
  <w:endnote w:type="continuationSeparator" w:id="0">
    <w:p w14:paraId="7E6AEF2E" w14:textId="77777777" w:rsidR="00172704" w:rsidRDefault="0017270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72704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8AF503" w14:textId="77777777" w:rsidR="00172704" w:rsidRDefault="00172704" w:rsidP="004215FE">
      <w:r>
        <w:separator/>
      </w:r>
    </w:p>
  </w:footnote>
  <w:footnote w:type="continuationSeparator" w:id="0">
    <w:p w14:paraId="5180C1FA" w14:textId="77777777" w:rsidR="00172704" w:rsidRDefault="0017270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drawingGridHorizontalSpacing w:val="181"/>
  <w:drawingGridVerticalSpacing w:val="181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2704"/>
    <w:rsid w:val="00175192"/>
    <w:rsid w:val="00182CE4"/>
    <w:rsid w:val="001E1D59"/>
    <w:rsid w:val="00212F30"/>
    <w:rsid w:val="00217B9E"/>
    <w:rsid w:val="002226F9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38AF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6D1E"/>
    <w:rsid w:val="00605A12"/>
    <w:rsid w:val="00624FB1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3DC8"/>
    <w:rsid w:val="007F7442"/>
    <w:rsid w:val="00800860"/>
    <w:rsid w:val="008071DA"/>
    <w:rsid w:val="00814302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05CC1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042F"/>
    <w:rsid w:val="00C820B0"/>
    <w:rsid w:val="00CB2108"/>
    <w:rsid w:val="00CC6EF3"/>
    <w:rsid w:val="00CD6AEC"/>
    <w:rsid w:val="00CE6849"/>
    <w:rsid w:val="00CF4BBE"/>
    <w:rsid w:val="00CF6CB5"/>
    <w:rsid w:val="00D10224"/>
    <w:rsid w:val="00D32156"/>
    <w:rsid w:val="00D44612"/>
    <w:rsid w:val="00D50299"/>
    <w:rsid w:val="00D60920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editorial@elifesciences.or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losbiology.org/article/info:doi/10.1371/journal.pbio.1000412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biosharing.org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9C5563E-8EA6-4AFF-B50F-B45EF4C02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1245</Words>
  <Characters>7102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8331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Sabina</cp:lastModifiedBy>
  <cp:revision>2</cp:revision>
  <dcterms:created xsi:type="dcterms:W3CDTF">2018-06-07T11:42:00Z</dcterms:created>
  <dcterms:modified xsi:type="dcterms:W3CDTF">2018-06-07T11:42:00Z</dcterms:modified>
</cp:coreProperties>
</file>