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0B775AF" w14:textId="77777777" w:rsidR="00AD7478" w:rsidRPr="00505C51" w:rsidRDefault="00AD7478" w:rsidP="00877644">
      <w:pPr>
        <w:rPr>
          <w:rFonts w:asciiTheme="minorHAnsi" w:hAnsiTheme="minorHAnsi"/>
          <w:sz w:val="22"/>
          <w:szCs w:val="22"/>
          <w:lang w:val="en-GB"/>
        </w:rPr>
      </w:pPr>
    </w:p>
    <w:p w14:paraId="5A21BF04" w14:textId="0D4CB139" w:rsidR="00AD7478" w:rsidRDefault="00AD7478" w:rsidP="00AD7478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 w:rsidRPr="00AD7478">
        <w:rPr>
          <w:rFonts w:ascii="Arial" w:hAnsi="Arial" w:cs="Arial"/>
          <w:sz w:val="20"/>
          <w:szCs w:val="20"/>
        </w:rPr>
        <w:t>No explicit power analyses were performed.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92A7073" w14:textId="39CDD5E0" w:rsidR="00AD7478" w:rsidRDefault="00AD7478" w:rsidP="00AD7478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Our investigation was </w:t>
      </w:r>
      <w:r w:rsidRPr="00AD7478">
        <w:rPr>
          <w:rFonts w:ascii="Arial" w:hAnsi="Arial" w:cs="Arial"/>
          <w:sz w:val="20"/>
          <w:szCs w:val="20"/>
        </w:rPr>
        <w:t>designed for electroencephalographic (EEG) analysis as an extension of a previous psychophysical experiment, which had 9 participants (</w:t>
      </w:r>
      <w:proofErr w:type="spellStart"/>
      <w:r w:rsidRPr="00AD7478">
        <w:rPr>
          <w:rFonts w:ascii="Arial" w:hAnsi="Arial" w:cs="Arial"/>
          <w:sz w:val="20"/>
          <w:szCs w:val="20"/>
        </w:rPr>
        <w:t>Lunghi</w:t>
      </w:r>
      <w:proofErr w:type="spellEnd"/>
      <w:r w:rsidRPr="00AD7478">
        <w:rPr>
          <w:rFonts w:ascii="Arial" w:hAnsi="Arial" w:cs="Arial"/>
          <w:sz w:val="20"/>
          <w:szCs w:val="20"/>
        </w:rPr>
        <w:t xml:space="preserve"> et al</w:t>
      </w:r>
      <w:r w:rsidR="00CB3FC5">
        <w:rPr>
          <w:rFonts w:ascii="Arial" w:hAnsi="Arial" w:cs="Arial"/>
          <w:sz w:val="20"/>
          <w:szCs w:val="20"/>
        </w:rPr>
        <w:t>.</w:t>
      </w:r>
      <w:r w:rsidRPr="00AD7478">
        <w:rPr>
          <w:rFonts w:ascii="Arial" w:hAnsi="Arial" w:cs="Arial"/>
          <w:sz w:val="20"/>
          <w:szCs w:val="20"/>
        </w:rPr>
        <w:t xml:space="preserve">, Journal of Neuroscience, 2014). </w:t>
      </w:r>
    </w:p>
    <w:p w14:paraId="2A68A60E" w14:textId="77777777" w:rsidR="00AD7478" w:rsidRDefault="00AD7478" w:rsidP="00AD7478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 w:rsidRPr="00AD7478">
        <w:rPr>
          <w:rFonts w:ascii="Arial" w:hAnsi="Arial" w:cs="Arial"/>
          <w:sz w:val="20"/>
          <w:szCs w:val="20"/>
        </w:rPr>
        <w:t xml:space="preserve">Previous </w:t>
      </w:r>
      <w:proofErr w:type="spellStart"/>
      <w:r w:rsidRPr="00AD7478">
        <w:rPr>
          <w:rFonts w:ascii="Arial" w:hAnsi="Arial" w:cs="Arial"/>
          <w:sz w:val="20"/>
          <w:szCs w:val="20"/>
        </w:rPr>
        <w:t>behavioural</w:t>
      </w:r>
      <w:proofErr w:type="spellEnd"/>
      <w:r w:rsidRPr="00AD7478">
        <w:rPr>
          <w:rFonts w:ascii="Arial" w:hAnsi="Arial" w:cs="Arial"/>
          <w:sz w:val="20"/>
          <w:szCs w:val="20"/>
        </w:rPr>
        <w:t xml:space="preserve"> investigations of attentional sampling have tested between 14-16 participants (e.g. Landau &amp; Fries, 2012; </w:t>
      </w:r>
      <w:proofErr w:type="spellStart"/>
      <w:r w:rsidRPr="00AD7478">
        <w:rPr>
          <w:rFonts w:ascii="Arial" w:hAnsi="Arial" w:cs="Arial"/>
          <w:sz w:val="20"/>
          <w:szCs w:val="20"/>
        </w:rPr>
        <w:t>Fiebelkorn</w:t>
      </w:r>
      <w:proofErr w:type="spellEnd"/>
      <w:r w:rsidRPr="00AD7478">
        <w:rPr>
          <w:rFonts w:ascii="Arial" w:hAnsi="Arial" w:cs="Arial"/>
          <w:sz w:val="20"/>
          <w:szCs w:val="20"/>
        </w:rPr>
        <w:t xml:space="preserve"> et al., 2013), and previous neurophysiological studies test between 15 (e.g. Busch &amp; </w:t>
      </w:r>
      <w:proofErr w:type="spellStart"/>
      <w:r w:rsidRPr="00AD7478">
        <w:rPr>
          <w:rFonts w:ascii="Arial" w:hAnsi="Arial" w:cs="Arial"/>
          <w:sz w:val="20"/>
          <w:szCs w:val="20"/>
        </w:rPr>
        <w:t>VanRullen</w:t>
      </w:r>
      <w:proofErr w:type="spellEnd"/>
      <w:r w:rsidRPr="00AD7478">
        <w:rPr>
          <w:rFonts w:ascii="Arial" w:hAnsi="Arial" w:cs="Arial"/>
          <w:sz w:val="20"/>
          <w:szCs w:val="20"/>
        </w:rPr>
        <w:t>, 2010) and 22 participants (e.g. Landau et al</w:t>
      </w:r>
      <w:r>
        <w:rPr>
          <w:rFonts w:ascii="Arial" w:hAnsi="Arial" w:cs="Arial"/>
          <w:sz w:val="20"/>
          <w:szCs w:val="20"/>
        </w:rPr>
        <w:t>.</w:t>
      </w:r>
      <w:r w:rsidRPr="00AD7478">
        <w:rPr>
          <w:rFonts w:ascii="Arial" w:hAnsi="Arial" w:cs="Arial"/>
          <w:sz w:val="20"/>
          <w:szCs w:val="20"/>
        </w:rPr>
        <w:t>, 2015).</w:t>
      </w:r>
    </w:p>
    <w:p w14:paraId="283305D7" w14:textId="43A82AC3" w:rsidR="00877644" w:rsidRPr="00AD7478" w:rsidRDefault="00AD7478" w:rsidP="00AD7478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 w:rsidRPr="00AD7478">
        <w:rPr>
          <w:rFonts w:ascii="Arial" w:hAnsi="Arial" w:cs="Arial"/>
          <w:sz w:val="20"/>
          <w:szCs w:val="20"/>
        </w:rPr>
        <w:t xml:space="preserve">To ensure a robust estimation of both </w:t>
      </w:r>
      <w:proofErr w:type="spellStart"/>
      <w:r w:rsidRPr="00AD7478">
        <w:rPr>
          <w:rFonts w:ascii="Arial" w:hAnsi="Arial" w:cs="Arial"/>
          <w:sz w:val="20"/>
          <w:szCs w:val="20"/>
        </w:rPr>
        <w:t>behavioural</w:t>
      </w:r>
      <w:proofErr w:type="spellEnd"/>
      <w:r w:rsidRPr="00AD7478">
        <w:rPr>
          <w:rFonts w:ascii="Arial" w:hAnsi="Arial" w:cs="Arial"/>
          <w:sz w:val="20"/>
          <w:szCs w:val="20"/>
        </w:rPr>
        <w:t xml:space="preserve"> and</w:t>
      </w:r>
      <w:r>
        <w:rPr>
          <w:rFonts w:ascii="Arial" w:hAnsi="Arial" w:cs="Arial"/>
          <w:sz w:val="20"/>
          <w:szCs w:val="20"/>
        </w:rPr>
        <w:t xml:space="preserve"> neurophysiological effects, we </w:t>
      </w:r>
      <w:r w:rsidRPr="00AD7478">
        <w:rPr>
          <w:rFonts w:ascii="Arial" w:hAnsi="Arial" w:cs="Arial"/>
          <w:sz w:val="20"/>
          <w:szCs w:val="20"/>
        </w:rPr>
        <w:t>recruited a sample of 3</w:t>
      </w:r>
      <w:r>
        <w:rPr>
          <w:rFonts w:ascii="Arial" w:hAnsi="Arial" w:cs="Arial"/>
          <w:sz w:val="20"/>
          <w:szCs w:val="20"/>
        </w:rPr>
        <w:t>5</w:t>
      </w:r>
      <w:r w:rsidRPr="00AD7478">
        <w:rPr>
          <w:rFonts w:ascii="Arial" w:hAnsi="Arial" w:cs="Arial"/>
          <w:sz w:val="20"/>
          <w:szCs w:val="20"/>
        </w:rPr>
        <w:t xml:space="preserve"> participants, </w:t>
      </w:r>
      <w:r>
        <w:rPr>
          <w:rFonts w:ascii="Arial" w:hAnsi="Arial" w:cs="Arial"/>
          <w:sz w:val="20"/>
          <w:szCs w:val="20"/>
        </w:rPr>
        <w:t xml:space="preserve">34 of whom </w:t>
      </w:r>
      <w:r w:rsidRPr="00AD7478">
        <w:rPr>
          <w:rFonts w:ascii="Arial" w:hAnsi="Arial" w:cs="Arial"/>
          <w:sz w:val="20"/>
          <w:szCs w:val="20"/>
        </w:rPr>
        <w:t>each contributed approximately 4 hours of data</w:t>
      </w:r>
      <w:r>
        <w:rPr>
          <w:rFonts w:ascii="Arial" w:hAnsi="Arial" w:cs="Arial"/>
          <w:sz w:val="20"/>
          <w:szCs w:val="20"/>
        </w:rPr>
        <w:t xml:space="preserve"> </w:t>
      </w:r>
      <w:r w:rsidR="00FB3609">
        <w:rPr>
          <w:rFonts w:ascii="Arial" w:hAnsi="Arial" w:cs="Arial"/>
          <w:sz w:val="20"/>
          <w:szCs w:val="20"/>
        </w:rPr>
        <w:t xml:space="preserve">each to </w:t>
      </w:r>
      <w:r>
        <w:rPr>
          <w:rFonts w:ascii="Arial" w:hAnsi="Arial" w:cs="Arial"/>
          <w:sz w:val="20"/>
          <w:szCs w:val="20"/>
        </w:rPr>
        <w:t>this study</w:t>
      </w:r>
      <w:r w:rsidRPr="00AD7478">
        <w:rPr>
          <w:rFonts w:ascii="Arial" w:hAnsi="Arial" w:cs="Arial"/>
          <w:sz w:val="20"/>
          <w:szCs w:val="20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C3844ED" w14:textId="77777777" w:rsidR="00AD7478" w:rsidRDefault="00AD7478" w:rsidP="00AD7478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 w:rsidRPr="00AD7478">
        <w:rPr>
          <w:rFonts w:ascii="Arial" w:hAnsi="Arial" w:cs="Arial"/>
          <w:sz w:val="20"/>
          <w:szCs w:val="20"/>
        </w:rPr>
        <w:lastRenderedPageBreak/>
        <w:t>This experiment was performed once.</w:t>
      </w:r>
    </w:p>
    <w:p w14:paraId="6E8EE7E8" w14:textId="7B63B074" w:rsidR="00AD7478" w:rsidRDefault="00AD7478" w:rsidP="00AD7478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 w:rsidRPr="00AD7478">
        <w:rPr>
          <w:rFonts w:ascii="Arial" w:hAnsi="Arial" w:cs="Arial"/>
          <w:sz w:val="20"/>
          <w:szCs w:val="20"/>
        </w:rPr>
        <w:t>No biological or technical replicates.</w:t>
      </w:r>
    </w:p>
    <w:p w14:paraId="42BF41E3" w14:textId="77777777" w:rsidR="00AD7478" w:rsidRDefault="00AD7478" w:rsidP="00AD7478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 w:rsidRPr="00AD7478">
        <w:rPr>
          <w:rFonts w:ascii="Arial" w:hAnsi="Arial" w:cs="Arial"/>
          <w:sz w:val="20"/>
          <w:szCs w:val="20"/>
        </w:rPr>
        <w:t xml:space="preserve">Each participant contributed approximately </w:t>
      </w:r>
      <w:r>
        <w:rPr>
          <w:rFonts w:ascii="Arial" w:hAnsi="Arial" w:cs="Arial"/>
          <w:sz w:val="20"/>
          <w:szCs w:val="20"/>
        </w:rPr>
        <w:t>4</w:t>
      </w:r>
      <w:r w:rsidRPr="00AD7478">
        <w:rPr>
          <w:rFonts w:ascii="Arial" w:hAnsi="Arial" w:cs="Arial"/>
          <w:sz w:val="20"/>
          <w:szCs w:val="20"/>
        </w:rPr>
        <w:t xml:space="preserve"> hours of combined EEG and </w:t>
      </w:r>
      <w:proofErr w:type="spellStart"/>
      <w:r w:rsidRPr="00AD7478">
        <w:rPr>
          <w:rFonts w:ascii="Arial" w:hAnsi="Arial" w:cs="Arial"/>
          <w:sz w:val="20"/>
          <w:szCs w:val="20"/>
        </w:rPr>
        <w:t>behavioural</w:t>
      </w:r>
      <w:proofErr w:type="spellEnd"/>
      <w:r w:rsidRPr="00AD7478">
        <w:rPr>
          <w:rFonts w:ascii="Arial" w:hAnsi="Arial" w:cs="Arial"/>
          <w:sz w:val="20"/>
          <w:szCs w:val="20"/>
        </w:rPr>
        <w:t xml:space="preserve"> data, split over two days. Inclusion criteria were normal or corrected to normal vision. Exclusion criteria included failure to attend both days of testing. </w:t>
      </w:r>
    </w:p>
    <w:p w14:paraId="78102952" w14:textId="3E4F7B87" w:rsidR="00B330BD" w:rsidRPr="00AD7478" w:rsidRDefault="00AD7478" w:rsidP="00AD7478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 w:rsidRPr="00AD7478">
        <w:rPr>
          <w:rFonts w:ascii="Arial" w:hAnsi="Arial" w:cs="Arial"/>
          <w:sz w:val="20"/>
          <w:szCs w:val="20"/>
        </w:rPr>
        <w:t>Outliers were identified on the basis of failure to follow task instructions and excessive movement during EEG recording (N=1).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1D34086F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</w:t>
      </w:r>
      <w:r w:rsidR="00AD7478">
        <w:rPr>
          <w:rFonts w:asciiTheme="minorHAnsi" w:hAnsiTheme="minorHAnsi"/>
          <w:bCs/>
          <w:sz w:val="22"/>
          <w:szCs w:val="22"/>
          <w:lang w:val="en-GB"/>
        </w:rPr>
        <w:t>’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s r, Cohen</w:t>
      </w:r>
      <w:r w:rsidR="00AD7478">
        <w:rPr>
          <w:rFonts w:asciiTheme="minorHAnsi" w:hAnsiTheme="minorHAnsi"/>
          <w:bCs/>
          <w:sz w:val="22"/>
          <w:szCs w:val="22"/>
          <w:lang w:val="en-GB"/>
        </w:rPr>
        <w:t>’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AA8A7FA" w14:textId="2459CAE2" w:rsidR="00AD7478" w:rsidRDefault="00AD7478" w:rsidP="00AD7478">
      <w:pPr>
        <w:pStyle w:val="ListParagraph"/>
        <w:framePr w:w="7817" w:h="1088" w:hSpace="180" w:wrap="around" w:vAnchor="text" w:hAnchor="page" w:x="1904" w:y="2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 w:rsidRPr="00AD7478">
        <w:rPr>
          <w:rFonts w:ascii="Arial" w:hAnsi="Arial" w:cs="Arial"/>
          <w:sz w:val="20"/>
          <w:szCs w:val="20"/>
        </w:rPr>
        <w:t>All statistical analysis methods are detailed thoroughly in the</w:t>
      </w:r>
      <w:r w:rsidR="00FC7C0B">
        <w:rPr>
          <w:rFonts w:ascii="Arial" w:hAnsi="Arial" w:cs="Arial"/>
          <w:sz w:val="20"/>
          <w:szCs w:val="20"/>
        </w:rPr>
        <w:t xml:space="preserve"> manuscript figure legends, </w:t>
      </w:r>
      <w:r w:rsidRPr="00AD7478">
        <w:rPr>
          <w:rFonts w:ascii="Arial" w:hAnsi="Arial" w:cs="Arial"/>
          <w:sz w:val="20"/>
          <w:szCs w:val="20"/>
        </w:rPr>
        <w:t xml:space="preserve">Methods </w:t>
      </w:r>
      <w:r w:rsidR="00FC7C0B">
        <w:rPr>
          <w:rFonts w:ascii="Arial" w:hAnsi="Arial" w:cs="Arial"/>
          <w:sz w:val="20"/>
          <w:szCs w:val="20"/>
        </w:rPr>
        <w:t xml:space="preserve">(p30-42), as well as </w:t>
      </w:r>
      <w:r w:rsidRPr="00AD7478">
        <w:rPr>
          <w:rFonts w:ascii="Arial" w:hAnsi="Arial" w:cs="Arial"/>
          <w:sz w:val="20"/>
          <w:szCs w:val="20"/>
        </w:rPr>
        <w:t xml:space="preserve">supplementary figures. </w:t>
      </w:r>
    </w:p>
    <w:p w14:paraId="789AAB20" w14:textId="77777777" w:rsidR="00AD7478" w:rsidRDefault="00AD7478" w:rsidP="00AD7478">
      <w:pPr>
        <w:pStyle w:val="ListParagraph"/>
        <w:framePr w:w="7817" w:h="1088" w:hSpace="180" w:wrap="around" w:vAnchor="text" w:hAnchor="page" w:x="1904" w:y="2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For probability over time of perceiving the congruent flicker (Figure 2a, c, d), significant differences between cue types were determined using repeated-measures ANOVA followed by planned comparisons (comparing probability for attended/unattended, low Hz / high Hz/ and visual cue combinations). We tested for differences at each time point (16.7 </w:t>
      </w:r>
      <w:proofErr w:type="spellStart"/>
      <w:r>
        <w:rPr>
          <w:rFonts w:ascii="Arial" w:hAnsi="Arial" w:cs="Arial"/>
          <w:sz w:val="20"/>
          <w:szCs w:val="20"/>
        </w:rPr>
        <w:t>ms</w:t>
      </w:r>
      <w:proofErr w:type="spellEnd"/>
      <w:r>
        <w:rPr>
          <w:rFonts w:ascii="Arial" w:hAnsi="Arial" w:cs="Arial"/>
          <w:sz w:val="20"/>
          <w:szCs w:val="20"/>
        </w:rPr>
        <w:t xml:space="preserve"> steps, over 7 seconds), and use FDR q = .05 as the statistical threshold when correcting for multiple comparisons across time points.</w:t>
      </w:r>
    </w:p>
    <w:p w14:paraId="3C4DA8C9" w14:textId="0644B2C3" w:rsidR="00AD7478" w:rsidRDefault="00AD7478" w:rsidP="00AD7478">
      <w:pPr>
        <w:pStyle w:val="ListParagraph"/>
        <w:framePr w:w="7817" w:h="1088" w:hSpace="180" w:wrap="around" w:vAnchor="text" w:hAnchor="page" w:x="1904" w:y="2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 compare Mismatch and Match CDF</w:t>
      </w:r>
      <w:r w:rsidR="00406651">
        <w:rPr>
          <w:rFonts w:ascii="Arial" w:hAnsi="Arial" w:cs="Arial"/>
          <w:sz w:val="20"/>
          <w:szCs w:val="20"/>
        </w:rPr>
        <w:t xml:space="preserve"> (Figure 3b)</w:t>
      </w:r>
      <w:r>
        <w:rPr>
          <w:rFonts w:ascii="Arial" w:hAnsi="Arial" w:cs="Arial"/>
          <w:sz w:val="20"/>
          <w:szCs w:val="20"/>
        </w:rPr>
        <w:t>, we applied a similar analysis (running paired samples t-tests), testing each 16.7ms (over 10 seconds) and correcting for mul</w:t>
      </w:r>
      <w:r w:rsidR="00406651">
        <w:rPr>
          <w:rFonts w:ascii="Arial" w:hAnsi="Arial" w:cs="Arial"/>
          <w:sz w:val="20"/>
          <w:szCs w:val="20"/>
        </w:rPr>
        <w:t xml:space="preserve">tiple comparisons with FDR q = </w:t>
      </w:r>
      <w:r>
        <w:rPr>
          <w:rFonts w:ascii="Arial" w:hAnsi="Arial" w:cs="Arial"/>
          <w:sz w:val="20"/>
          <w:szCs w:val="20"/>
        </w:rPr>
        <w:t>0</w:t>
      </w:r>
      <w:r w:rsidR="00406651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.</w:t>
      </w:r>
    </w:p>
    <w:p w14:paraId="29B7CE2E" w14:textId="1943D46F" w:rsidR="00406651" w:rsidRDefault="00406651" w:rsidP="00AD7478">
      <w:pPr>
        <w:pStyle w:val="ListParagraph"/>
        <w:framePr w:w="7817" w:h="1088" w:hSpace="180" w:wrap="around" w:vAnchor="text" w:hAnchor="page" w:x="1904" w:y="2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To test the spectral amplitude of first switches (Figure 3f), we employed a two-stage statistical significance test based on non-parametric permutations, well established for the analysis of electrophysiological data (Maris &amp; </w:t>
      </w:r>
      <w:proofErr w:type="spellStart"/>
      <w:r>
        <w:rPr>
          <w:rFonts w:ascii="Arial" w:hAnsi="Arial" w:cs="Arial"/>
          <w:sz w:val="20"/>
          <w:szCs w:val="20"/>
        </w:rPr>
        <w:t>Oostenveld</w:t>
      </w:r>
      <w:proofErr w:type="spellEnd"/>
      <w:r>
        <w:rPr>
          <w:rFonts w:ascii="Arial" w:hAnsi="Arial" w:cs="Arial"/>
          <w:sz w:val="20"/>
          <w:szCs w:val="20"/>
        </w:rPr>
        <w:t xml:space="preserve">, 2007). In the first stage, </w:t>
      </w:r>
      <w:r w:rsidR="00FC7C0B">
        <w:rPr>
          <w:rFonts w:ascii="Arial" w:hAnsi="Arial" w:cs="Arial"/>
          <w:sz w:val="20"/>
          <w:szCs w:val="20"/>
        </w:rPr>
        <w:t xml:space="preserve">a minimum of two adjacent </w:t>
      </w:r>
      <w:r>
        <w:rPr>
          <w:rFonts w:ascii="Arial" w:hAnsi="Arial" w:cs="Arial"/>
          <w:sz w:val="20"/>
          <w:szCs w:val="20"/>
        </w:rPr>
        <w:t xml:space="preserve">significant frequencies (at p&lt;.005 uncorrected) were first identified through a non-parametric randomization procedure. At the second stage, we compared clustered </w:t>
      </w:r>
      <w:r w:rsidR="00A136A1">
        <w:rPr>
          <w:rFonts w:ascii="Arial" w:hAnsi="Arial" w:cs="Arial"/>
          <w:sz w:val="20"/>
          <w:szCs w:val="20"/>
        </w:rPr>
        <w:t xml:space="preserve">amplitudes </w:t>
      </w:r>
      <w:r>
        <w:rPr>
          <w:rFonts w:ascii="Arial" w:hAnsi="Arial" w:cs="Arial"/>
          <w:sz w:val="20"/>
          <w:szCs w:val="20"/>
        </w:rPr>
        <w:t>(from the first stage) to the maximum clustered level amplitudes observed from a null-distribution of surrogate data, and retained our observed clusters (from the first stage) as significant when exceeding the top 95% of this null distribution</w:t>
      </w:r>
      <w:r w:rsidR="00A136A1">
        <w:rPr>
          <w:rFonts w:ascii="Arial" w:hAnsi="Arial" w:cs="Arial"/>
          <w:sz w:val="20"/>
          <w:szCs w:val="20"/>
        </w:rPr>
        <w:t xml:space="preserve"> (or </w:t>
      </w:r>
      <w:proofErr w:type="spellStart"/>
      <w:r w:rsidR="00A136A1">
        <w:rPr>
          <w:rFonts w:ascii="Arial" w:hAnsi="Arial" w:cs="Arial"/>
          <w:sz w:val="20"/>
          <w:szCs w:val="20"/>
        </w:rPr>
        <w:t>p</w:t>
      </w:r>
      <w:r w:rsidR="00A136A1" w:rsidRPr="00A136A1">
        <w:rPr>
          <w:rFonts w:ascii="Arial" w:hAnsi="Arial" w:cs="Arial"/>
          <w:sz w:val="20"/>
          <w:szCs w:val="20"/>
          <w:vertAlign w:val="subscript"/>
        </w:rPr>
        <w:t>cluster</w:t>
      </w:r>
      <w:proofErr w:type="spellEnd"/>
      <w:r w:rsidR="00A136A1">
        <w:rPr>
          <w:rFonts w:ascii="Arial" w:hAnsi="Arial" w:cs="Arial"/>
          <w:sz w:val="20"/>
          <w:szCs w:val="20"/>
          <w:vertAlign w:val="subscript"/>
        </w:rPr>
        <w:t xml:space="preserve"> </w:t>
      </w:r>
      <w:r w:rsidR="00A136A1" w:rsidRPr="00A136A1">
        <w:rPr>
          <w:rFonts w:ascii="Arial" w:hAnsi="Arial" w:cs="Arial"/>
          <w:sz w:val="20"/>
          <w:szCs w:val="20"/>
        </w:rPr>
        <w:t>&lt;</w:t>
      </w:r>
      <w:r w:rsidR="00A136A1">
        <w:rPr>
          <w:rFonts w:ascii="Arial" w:hAnsi="Arial" w:cs="Arial"/>
          <w:sz w:val="20"/>
          <w:szCs w:val="20"/>
        </w:rPr>
        <w:t xml:space="preserve"> </w:t>
      </w:r>
      <w:r w:rsidR="00A136A1" w:rsidRPr="00A136A1">
        <w:rPr>
          <w:rFonts w:ascii="Arial" w:hAnsi="Arial" w:cs="Arial"/>
          <w:sz w:val="20"/>
          <w:szCs w:val="20"/>
        </w:rPr>
        <w:t>.05)</w:t>
      </w:r>
      <w:r>
        <w:rPr>
          <w:rFonts w:ascii="Arial" w:hAnsi="Arial" w:cs="Arial"/>
          <w:sz w:val="20"/>
          <w:szCs w:val="20"/>
        </w:rPr>
        <w:t>.</w:t>
      </w:r>
      <w:r w:rsidR="00A136A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Extra details are documented in the </w:t>
      </w:r>
      <w:r w:rsidRPr="00A136A1">
        <w:rPr>
          <w:rFonts w:ascii="Arial" w:hAnsi="Arial" w:cs="Arial"/>
          <w:i/>
          <w:sz w:val="20"/>
          <w:szCs w:val="20"/>
        </w:rPr>
        <w:t>Methods</w:t>
      </w:r>
      <w:r w:rsidR="00A136A1">
        <w:rPr>
          <w:rFonts w:ascii="Arial" w:hAnsi="Arial" w:cs="Arial"/>
          <w:sz w:val="20"/>
          <w:szCs w:val="20"/>
        </w:rPr>
        <w:t xml:space="preserve"> / </w:t>
      </w:r>
      <w:r w:rsidR="00A136A1" w:rsidRPr="00A136A1">
        <w:rPr>
          <w:rFonts w:ascii="Arial" w:hAnsi="Arial" w:cs="Arial"/>
          <w:i/>
          <w:sz w:val="20"/>
          <w:szCs w:val="20"/>
        </w:rPr>
        <w:t>Spectral analysis of first switches</w:t>
      </w:r>
      <w:r>
        <w:rPr>
          <w:rFonts w:ascii="Arial" w:hAnsi="Arial" w:cs="Arial"/>
          <w:sz w:val="20"/>
          <w:szCs w:val="20"/>
        </w:rPr>
        <w:t xml:space="preserve"> (p37-38) and </w:t>
      </w:r>
      <w:r w:rsidR="00A136A1">
        <w:rPr>
          <w:rFonts w:ascii="Arial" w:hAnsi="Arial" w:cs="Arial"/>
          <w:sz w:val="20"/>
          <w:szCs w:val="20"/>
        </w:rPr>
        <w:t xml:space="preserve">the permutation null-distributions used to calculate statistical significance displayed in </w:t>
      </w:r>
      <w:r w:rsidR="00CB3FC5">
        <w:rPr>
          <w:rFonts w:ascii="Arial" w:hAnsi="Arial" w:cs="Arial"/>
          <w:sz w:val="20"/>
          <w:szCs w:val="20"/>
        </w:rPr>
        <w:t>Figure 3 s</w:t>
      </w:r>
      <w:r>
        <w:rPr>
          <w:rFonts w:ascii="Arial" w:hAnsi="Arial" w:cs="Arial"/>
          <w:sz w:val="20"/>
          <w:szCs w:val="20"/>
        </w:rPr>
        <w:t>upplement</w:t>
      </w:r>
      <w:r w:rsidR="00CB3FC5">
        <w:rPr>
          <w:rFonts w:ascii="Arial" w:hAnsi="Arial" w:cs="Arial"/>
          <w:sz w:val="20"/>
          <w:szCs w:val="20"/>
        </w:rPr>
        <w:t xml:space="preserve"> 2</w:t>
      </w:r>
      <w:r>
        <w:rPr>
          <w:rFonts w:ascii="Arial" w:hAnsi="Arial" w:cs="Arial"/>
          <w:sz w:val="20"/>
          <w:szCs w:val="20"/>
        </w:rPr>
        <w:t>.</w:t>
      </w:r>
    </w:p>
    <w:p w14:paraId="15D8635F" w14:textId="1B9F0779" w:rsidR="00406651" w:rsidRDefault="00A136A1" w:rsidP="00AD7478">
      <w:pPr>
        <w:pStyle w:val="ListParagraph"/>
        <w:framePr w:w="7817" w:h="1088" w:hSpace="180" w:wrap="around" w:vAnchor="text" w:hAnchor="page" w:x="1904" w:y="2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similar two-stage procedure was performed to test the spatial topography of ITPC. Here a minimum of two </w:t>
      </w:r>
      <w:proofErr w:type="spellStart"/>
      <w:r>
        <w:rPr>
          <w:rFonts w:ascii="Arial" w:hAnsi="Arial" w:cs="Arial"/>
          <w:sz w:val="20"/>
          <w:szCs w:val="20"/>
        </w:rPr>
        <w:t>neighbouring</w:t>
      </w:r>
      <w:proofErr w:type="spellEnd"/>
      <w:r>
        <w:rPr>
          <w:rFonts w:ascii="Arial" w:hAnsi="Arial" w:cs="Arial"/>
          <w:sz w:val="20"/>
          <w:szCs w:val="20"/>
        </w:rPr>
        <w:t xml:space="preserve"> electrodes (maximum inter-electrode distance = 3.5 cm) which satisfied the first stage of analysis (p&lt;.05 uncorrected) were retained for the second stage. Clustered test-statistics were then compared to the maximum clustered test-statistics generated by shuffling condition labels in our null distribution. The observed cluster-level t-scores were regarded as significant when exceeding the top 95% of this null distribution. Additional information on this process is detailed on in </w:t>
      </w:r>
      <w:r w:rsidRPr="00A136A1">
        <w:rPr>
          <w:rFonts w:ascii="Arial" w:hAnsi="Arial" w:cs="Arial"/>
          <w:i/>
          <w:sz w:val="20"/>
          <w:szCs w:val="20"/>
        </w:rPr>
        <w:t>Methods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/ </w:t>
      </w:r>
      <w:r w:rsidRPr="00A136A1">
        <w:rPr>
          <w:rFonts w:ascii="Arial" w:hAnsi="Arial" w:cs="Arial"/>
          <w:i/>
          <w:sz w:val="20"/>
          <w:szCs w:val="20"/>
        </w:rPr>
        <w:t>ITPC statistics</w:t>
      </w:r>
      <w:r>
        <w:rPr>
          <w:rFonts w:ascii="Arial" w:hAnsi="Arial" w:cs="Arial"/>
          <w:sz w:val="20"/>
          <w:szCs w:val="20"/>
        </w:rPr>
        <w:t xml:space="preserve"> on pages 40-41, with the null distributions used to calculate significance presented in </w:t>
      </w:r>
      <w:r w:rsidR="00CB3FC5">
        <w:rPr>
          <w:rFonts w:ascii="Arial" w:hAnsi="Arial" w:cs="Arial"/>
          <w:sz w:val="20"/>
          <w:szCs w:val="20"/>
        </w:rPr>
        <w:t>Figure 4 supplement 1, and Figure 5 supplement 1</w:t>
      </w:r>
      <w:r>
        <w:rPr>
          <w:rFonts w:ascii="Arial" w:hAnsi="Arial" w:cs="Arial"/>
          <w:sz w:val="20"/>
          <w:szCs w:val="20"/>
        </w:rPr>
        <w:t>.</w:t>
      </w:r>
    </w:p>
    <w:p w14:paraId="272470C1" w14:textId="484B4ADA" w:rsidR="00F61BBC" w:rsidRPr="00AD7478" w:rsidRDefault="00F61BBC" w:rsidP="00AD7478">
      <w:pPr>
        <w:pStyle w:val="ListParagraph"/>
        <w:framePr w:w="7817" w:h="1088" w:hSpace="180" w:wrap="around" w:vAnchor="text" w:hAnchor="page" w:x="1904" w:y="2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Exact p-values are reported throughout the manuscript where possible. </w:t>
      </w:r>
      <w:r w:rsidR="00FC7C0B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hen clustered test-statistics exceeded 100% of the permutation null distribution, they were reported as </w:t>
      </w:r>
      <w:proofErr w:type="spellStart"/>
      <w:r>
        <w:rPr>
          <w:rFonts w:ascii="Arial" w:hAnsi="Arial" w:cs="Arial"/>
          <w:sz w:val="20"/>
          <w:szCs w:val="20"/>
        </w:rPr>
        <w:t>p</w:t>
      </w:r>
      <w:r w:rsidRPr="00F61BBC">
        <w:rPr>
          <w:rFonts w:ascii="Arial" w:hAnsi="Arial" w:cs="Arial"/>
          <w:sz w:val="20"/>
          <w:szCs w:val="20"/>
          <w:vertAlign w:val="subscript"/>
        </w:rPr>
        <w:t>cluster</w:t>
      </w:r>
      <w:proofErr w:type="spellEnd"/>
      <w:r>
        <w:rPr>
          <w:rFonts w:ascii="Arial" w:hAnsi="Arial" w:cs="Arial"/>
          <w:sz w:val="20"/>
          <w:szCs w:val="20"/>
        </w:rPr>
        <w:t xml:space="preserve"> &lt; .001.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A586AB9" w:rsidR="00BC3CCE" w:rsidRPr="00F61BBC" w:rsidRDefault="00F61BBC" w:rsidP="00F61BBC">
      <w:pPr>
        <w:pStyle w:val="ListParagraph"/>
        <w:framePr w:w="7817" w:h="1088" w:hSpace="180" w:wrap="around" w:vAnchor="text" w:hAnchor="page" w:x="1904" w:y="1"/>
        <w:numPr>
          <w:ilvl w:val="0"/>
          <w:numId w:val="1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On one of their two testing days, participants were instructed to ignore </w:t>
      </w:r>
      <w:proofErr w:type="spellStart"/>
      <w:r>
        <w:rPr>
          <w:rFonts w:ascii="Arial" w:hAnsi="Arial" w:cs="Arial"/>
          <w:sz w:val="20"/>
          <w:szCs w:val="20"/>
        </w:rPr>
        <w:t>crossmodal</w:t>
      </w:r>
      <w:proofErr w:type="spellEnd"/>
      <w:r>
        <w:rPr>
          <w:rFonts w:ascii="Arial" w:hAnsi="Arial" w:cs="Arial"/>
          <w:sz w:val="20"/>
          <w:szCs w:val="20"/>
        </w:rPr>
        <w:t xml:space="preserve"> cues. Group allocation was randomized for the day of this condition (day 1 for n=18, day 2 for n=16).</w:t>
      </w:r>
    </w:p>
    <w:p w14:paraId="2CD796DC" w14:textId="7FD194A6" w:rsidR="00F61BBC" w:rsidRPr="00F61BBC" w:rsidRDefault="00F61BBC" w:rsidP="00F61BBC">
      <w:pPr>
        <w:pStyle w:val="ListParagraph"/>
        <w:framePr w:w="7817" w:h="1088" w:hSpace="180" w:wrap="around" w:vAnchor="text" w:hAnchor="page" w:x="1904" w:y="1"/>
        <w:numPr>
          <w:ilvl w:val="0"/>
          <w:numId w:val="1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>No other experimental groups were formed.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1FFCA14" w:rsidR="00BC3CCE" w:rsidRDefault="00CB3FC5" w:rsidP="00F61BBC">
      <w:pPr>
        <w:pStyle w:val="ListParagraph"/>
        <w:framePr w:w="7817" w:h="1088" w:hSpace="180" w:wrap="around" w:vAnchor="text" w:hAnchor="page" w:x="1904" w:y="1"/>
        <w:numPr>
          <w:ilvl w:val="0"/>
          <w:numId w:val="1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3 supplement 2, Figure 4 supplement 1, and Figure 5 supplement 1 </w:t>
      </w:r>
      <w:r w:rsidR="00F61BBC">
        <w:rPr>
          <w:rFonts w:asciiTheme="minorHAnsi" w:hAnsiTheme="minorHAnsi"/>
          <w:sz w:val="22"/>
          <w:szCs w:val="22"/>
        </w:rPr>
        <w:t>display the null distributions used to calculate spectral and spatial clustered significance.</w:t>
      </w:r>
    </w:p>
    <w:p w14:paraId="6BD37C33" w14:textId="6D3FC610" w:rsidR="00F61BBC" w:rsidRDefault="00FC7C0B" w:rsidP="00F61BBC">
      <w:pPr>
        <w:pStyle w:val="ListParagraph"/>
        <w:framePr w:w="7817" w:h="1088" w:hSpace="180" w:wrap="around" w:vAnchor="text" w:hAnchor="page" w:x="1904" w:y="1"/>
        <w:numPr>
          <w:ilvl w:val="0"/>
          <w:numId w:val="1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Matlab</w:t>
      </w:r>
      <w:proofErr w:type="spellEnd"/>
      <w:r>
        <w:rPr>
          <w:rFonts w:asciiTheme="minorHAnsi" w:hAnsiTheme="minorHAnsi"/>
          <w:sz w:val="22"/>
          <w:szCs w:val="22"/>
        </w:rPr>
        <w:t xml:space="preserve"> c</w:t>
      </w:r>
      <w:r w:rsidR="00F61BBC">
        <w:rPr>
          <w:rFonts w:asciiTheme="minorHAnsi" w:hAnsiTheme="minorHAnsi"/>
          <w:sz w:val="22"/>
          <w:szCs w:val="22"/>
        </w:rPr>
        <w:t xml:space="preserve">ode </w:t>
      </w:r>
      <w:r>
        <w:rPr>
          <w:rFonts w:asciiTheme="minorHAnsi" w:hAnsiTheme="minorHAnsi"/>
          <w:sz w:val="22"/>
          <w:szCs w:val="22"/>
        </w:rPr>
        <w:t xml:space="preserve">used </w:t>
      </w:r>
      <w:r w:rsidR="00F61BBC">
        <w:rPr>
          <w:rFonts w:asciiTheme="minorHAnsi" w:hAnsiTheme="minorHAnsi"/>
          <w:sz w:val="22"/>
          <w:szCs w:val="22"/>
        </w:rPr>
        <w:t>for this experiment and data analysis will be made pub</w:t>
      </w:r>
      <w:r>
        <w:rPr>
          <w:rFonts w:asciiTheme="minorHAnsi" w:hAnsiTheme="minorHAnsi"/>
          <w:sz w:val="22"/>
          <w:szCs w:val="22"/>
        </w:rPr>
        <w:t xml:space="preserve">licly available at </w:t>
      </w:r>
      <w:r w:rsidR="00F61BBC">
        <w:rPr>
          <w:rFonts w:asciiTheme="minorHAnsi" w:hAnsiTheme="minorHAnsi"/>
          <w:sz w:val="22"/>
          <w:szCs w:val="22"/>
        </w:rPr>
        <w:t>github.com/Davidson-MJ</w:t>
      </w:r>
    </w:p>
    <w:p w14:paraId="1D18521E" w14:textId="5FBE5D1C" w:rsidR="00F61BBC" w:rsidRPr="00F61BBC" w:rsidRDefault="00F61BBC" w:rsidP="00F61BBC">
      <w:pPr>
        <w:pStyle w:val="ListParagraph"/>
        <w:framePr w:w="7817" w:h="1088" w:hSpace="180" w:wrap="around" w:vAnchor="text" w:hAnchor="page" w:x="1904" w:y="1"/>
        <w:numPr>
          <w:ilvl w:val="0"/>
          <w:numId w:val="1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Data for this experiment will be publicly available on the Monash University </w:t>
      </w:r>
      <w:proofErr w:type="spellStart"/>
      <w:r>
        <w:rPr>
          <w:rFonts w:asciiTheme="minorHAnsi" w:hAnsiTheme="minorHAnsi"/>
          <w:sz w:val="22"/>
          <w:szCs w:val="22"/>
        </w:rPr>
        <w:t>figshare</w:t>
      </w:r>
      <w:proofErr w:type="spellEnd"/>
      <w:r>
        <w:rPr>
          <w:rFonts w:asciiTheme="minorHAnsi" w:hAnsiTheme="minorHAnsi"/>
          <w:sz w:val="22"/>
          <w:szCs w:val="22"/>
        </w:rPr>
        <w:t xml:space="preserve"> account (monash.figshare.com).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A3A819" w14:textId="77777777" w:rsidR="00D362C4" w:rsidRDefault="00D362C4" w:rsidP="004215FE">
      <w:r>
        <w:separator/>
      </w:r>
    </w:p>
  </w:endnote>
  <w:endnote w:type="continuationSeparator" w:id="0">
    <w:p w14:paraId="646B0E1C" w14:textId="77777777" w:rsidR="00D362C4" w:rsidRDefault="00D362C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ＭＳ 明朝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FB3609" w:rsidRDefault="00FB3609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FB3609" w:rsidRDefault="00FB3609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FB3609" w:rsidRDefault="00FB36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FB3609" w:rsidRPr="0009520A" w:rsidRDefault="00FB3609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C7C0B">
      <w:rPr>
        <w:rStyle w:val="PageNumber"/>
        <w:rFonts w:asciiTheme="minorHAnsi" w:hAnsiTheme="minorHAnsi"/>
        <w:noProof/>
        <w:sz w:val="20"/>
        <w:szCs w:val="20"/>
      </w:rPr>
      <w:t>4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FB3609" w:rsidRPr="00062DBF" w:rsidRDefault="00FB3609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8E25F2" w14:textId="77777777" w:rsidR="00D362C4" w:rsidRDefault="00D362C4" w:rsidP="004215FE">
      <w:r>
        <w:separator/>
      </w:r>
    </w:p>
  </w:footnote>
  <w:footnote w:type="continuationSeparator" w:id="0">
    <w:p w14:paraId="25F09726" w14:textId="77777777" w:rsidR="00D362C4" w:rsidRDefault="00D362C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FB3609" w:rsidRDefault="00FB3609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24049"/>
    <w:multiLevelType w:val="hybridMultilevel"/>
    <w:tmpl w:val="F27AD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97C4D"/>
    <w:multiLevelType w:val="hybridMultilevel"/>
    <w:tmpl w:val="CF8CB3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D203E"/>
    <w:multiLevelType w:val="hybridMultilevel"/>
    <w:tmpl w:val="3620D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75B2E"/>
    <w:multiLevelType w:val="hybridMultilevel"/>
    <w:tmpl w:val="5E789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401ADC"/>
    <w:multiLevelType w:val="hybridMultilevel"/>
    <w:tmpl w:val="3398C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1"/>
  </w:num>
  <w:num w:numId="5">
    <w:abstractNumId w:val="10"/>
  </w:num>
  <w:num w:numId="6">
    <w:abstractNumId w:val="6"/>
  </w:num>
  <w:num w:numId="7">
    <w:abstractNumId w:val="9"/>
  </w:num>
  <w:num w:numId="8">
    <w:abstractNumId w:val="5"/>
  </w:num>
  <w:num w:numId="9">
    <w:abstractNumId w:val="3"/>
  </w:num>
  <w:num w:numId="10">
    <w:abstractNumId w:val="2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651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136A1"/>
    <w:rsid w:val="00A32E20"/>
    <w:rsid w:val="00A5368C"/>
    <w:rsid w:val="00A62B52"/>
    <w:rsid w:val="00A84B3E"/>
    <w:rsid w:val="00AB5612"/>
    <w:rsid w:val="00AC49AA"/>
    <w:rsid w:val="00AD7478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B3FC5"/>
    <w:rsid w:val="00CC6EF3"/>
    <w:rsid w:val="00CD6AEC"/>
    <w:rsid w:val="00CE6849"/>
    <w:rsid w:val="00CF4BBE"/>
    <w:rsid w:val="00CF6CB5"/>
    <w:rsid w:val="00D10224"/>
    <w:rsid w:val="00D362C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61BBC"/>
    <w:rsid w:val="00FB3609"/>
    <w:rsid w:val="00FC1F40"/>
    <w:rsid w:val="00FC7C0B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99D5BF1-3203-924F-BD42-C2CD6FB91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02DDA24-A058-694C-BBB4-3D7FC35A4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1342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8981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Matt Davidson</cp:lastModifiedBy>
  <cp:revision>30</cp:revision>
  <dcterms:created xsi:type="dcterms:W3CDTF">2017-06-13T14:43:00Z</dcterms:created>
  <dcterms:modified xsi:type="dcterms:W3CDTF">2018-11-15T07:31:00Z</dcterms:modified>
</cp:coreProperties>
</file>