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bookmarkStart w:id="0" w:name="_GoBack"/>
      <w:bookmarkEnd w:id="0"/>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02B8FA55"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r w:rsidR="005B0AB6">
        <w:rPr>
          <w:rFonts w:asciiTheme="minorHAnsi" w:hAnsiTheme="minorHAnsi"/>
          <w:b/>
          <w:bCs/>
          <w:sz w:val="22"/>
          <w:szCs w:val="22"/>
        </w:rPr>
        <w:t xml:space="preserve"> </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0DE2789A" w:rsidR="00402ADD" w:rsidRPr="00C10FE0"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168CF944" w14:textId="77777777" w:rsidR="00C10FE0" w:rsidRPr="00C10FE0" w:rsidRDefault="00C10FE0" w:rsidP="00C10FE0">
      <w:pPr>
        <w:ind w:left="360"/>
        <w:rPr>
          <w:rFonts w:asciiTheme="minorHAnsi" w:hAnsiTheme="minorHAnsi"/>
          <w:sz w:val="16"/>
          <w:szCs w:val="16"/>
          <w:lang w:val="en-GB"/>
        </w:rPr>
      </w:pPr>
      <w:r w:rsidRPr="00C10FE0">
        <w:rPr>
          <w:rFonts w:asciiTheme="minorHAnsi" w:hAnsiTheme="minorHAnsi"/>
          <w:sz w:val="22"/>
          <w:szCs w:val="22"/>
          <w:lang w:val="en-GB"/>
        </w:rPr>
        <w:t>Please outline where this information can be found within the submission (e.g., sections or figure legend), or explain why this information doesn’t apply to your submission:</w:t>
      </w:r>
    </w:p>
    <w:p w14:paraId="62296795" w14:textId="77777777" w:rsidR="008711A8" w:rsidRDefault="008711A8" w:rsidP="008711A8">
      <w:pPr>
        <w:framePr w:w="8173" w:h="4237" w:hSpace="180" w:wrap="around" w:vAnchor="text" w:hAnchor="page" w:x="1825" w:y="206"/>
        <w:pBdr>
          <w:top w:val="single" w:sz="6" w:space="1" w:color="auto"/>
          <w:left w:val="single" w:sz="6" w:space="1" w:color="auto"/>
          <w:bottom w:val="single" w:sz="6" w:space="1" w:color="auto"/>
          <w:right w:val="single" w:sz="6" w:space="1" w:color="auto"/>
        </w:pBdr>
        <w:rPr>
          <w:rFonts w:asciiTheme="minorHAnsi" w:hAnsiTheme="minorHAnsi"/>
          <w:b/>
          <w:sz w:val="22"/>
          <w:szCs w:val="22"/>
        </w:rPr>
      </w:pPr>
      <w:r w:rsidRPr="00ED7A21">
        <w:rPr>
          <w:rFonts w:asciiTheme="minorHAnsi" w:hAnsiTheme="minorHAnsi"/>
          <w:b/>
          <w:sz w:val="22"/>
          <w:szCs w:val="22"/>
        </w:rPr>
        <w:t xml:space="preserve">Mouse experiments </w:t>
      </w:r>
    </w:p>
    <w:p w14:paraId="6977ADCC" w14:textId="3633AE2A" w:rsidR="008711A8" w:rsidRPr="00A928CE" w:rsidRDefault="008711A8" w:rsidP="008711A8">
      <w:pPr>
        <w:framePr w:w="8173" w:h="4237" w:hSpace="180" w:wrap="around" w:vAnchor="text" w:hAnchor="page" w:x="1825" w:y="206"/>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928CE">
        <w:rPr>
          <w:rFonts w:asciiTheme="minorHAnsi" w:hAnsiTheme="minorHAnsi"/>
          <w:sz w:val="22"/>
          <w:szCs w:val="22"/>
        </w:rPr>
        <w:t>Sample size for echocardiogram analysis</w:t>
      </w:r>
      <w:r>
        <w:rPr>
          <w:rFonts w:asciiTheme="minorHAnsi" w:hAnsiTheme="minorHAnsi"/>
          <w:sz w:val="22"/>
          <w:szCs w:val="22"/>
        </w:rPr>
        <w:t xml:space="preserve"> (Figure </w:t>
      </w:r>
      <w:r w:rsidR="000C69D7">
        <w:rPr>
          <w:rFonts w:asciiTheme="minorHAnsi" w:hAnsiTheme="minorHAnsi"/>
          <w:sz w:val="22"/>
          <w:szCs w:val="22"/>
        </w:rPr>
        <w:t>4</w:t>
      </w:r>
      <w:r>
        <w:rPr>
          <w:rFonts w:asciiTheme="minorHAnsi" w:hAnsiTheme="minorHAnsi"/>
          <w:sz w:val="22"/>
          <w:szCs w:val="22"/>
        </w:rPr>
        <w:t xml:space="preserve"> and Figure </w:t>
      </w:r>
      <w:r w:rsidR="000C69D7">
        <w:rPr>
          <w:rFonts w:asciiTheme="minorHAnsi" w:hAnsiTheme="minorHAnsi"/>
          <w:sz w:val="22"/>
          <w:szCs w:val="22"/>
        </w:rPr>
        <w:t>4</w:t>
      </w:r>
      <w:r>
        <w:rPr>
          <w:rFonts w:asciiTheme="minorHAnsi" w:hAnsiTheme="minorHAnsi"/>
          <w:sz w:val="22"/>
          <w:szCs w:val="22"/>
        </w:rPr>
        <w:t xml:space="preserve"> -figure supplement </w:t>
      </w:r>
      <w:r w:rsidR="000C69D7">
        <w:rPr>
          <w:rFonts w:asciiTheme="minorHAnsi" w:hAnsiTheme="minorHAnsi"/>
          <w:sz w:val="22"/>
          <w:szCs w:val="22"/>
        </w:rPr>
        <w:t>3</w:t>
      </w:r>
      <w:r>
        <w:rPr>
          <w:rFonts w:asciiTheme="minorHAnsi" w:hAnsiTheme="minorHAnsi"/>
          <w:sz w:val="22"/>
          <w:szCs w:val="22"/>
        </w:rPr>
        <w:t>)</w:t>
      </w:r>
      <w:r w:rsidRPr="00A928CE">
        <w:rPr>
          <w:rFonts w:asciiTheme="minorHAnsi" w:hAnsiTheme="minorHAnsi"/>
          <w:sz w:val="22"/>
          <w:szCs w:val="22"/>
        </w:rPr>
        <w:t xml:space="preserve"> was</w:t>
      </w:r>
      <w:r>
        <w:rPr>
          <w:rFonts w:asciiTheme="minorHAnsi" w:hAnsiTheme="minorHAnsi"/>
          <w:sz w:val="22"/>
          <w:szCs w:val="22"/>
        </w:rPr>
        <w:t xml:space="preserve"> done</w:t>
      </w:r>
      <w:r w:rsidRPr="00A928CE">
        <w:rPr>
          <w:rFonts w:asciiTheme="minorHAnsi" w:hAnsiTheme="minorHAnsi"/>
          <w:sz w:val="22"/>
          <w:szCs w:val="22"/>
        </w:rPr>
        <w:t xml:space="preserve"> using</w:t>
      </w:r>
      <w:r>
        <w:rPr>
          <w:rFonts w:asciiTheme="minorHAnsi" w:hAnsiTheme="minorHAnsi"/>
          <w:sz w:val="22"/>
          <w:szCs w:val="22"/>
        </w:rPr>
        <w:t xml:space="preserve"> a</w:t>
      </w:r>
      <w:r w:rsidRPr="00A928CE">
        <w:rPr>
          <w:rFonts w:asciiTheme="minorHAnsi" w:hAnsiTheme="minorHAnsi"/>
          <w:sz w:val="22"/>
          <w:szCs w:val="22"/>
        </w:rPr>
        <w:t xml:space="preserve"> power calculation as outlined in the Methods section on page 26. </w:t>
      </w:r>
      <w:r w:rsidRPr="00007D7D">
        <w:rPr>
          <w:rFonts w:asciiTheme="minorHAnsi" w:hAnsiTheme="minorHAnsi"/>
          <w:sz w:val="22"/>
          <w:szCs w:val="22"/>
        </w:rPr>
        <w:t xml:space="preserve">All mouse echocardiogram results are also discussed on pages </w:t>
      </w:r>
      <w:r w:rsidR="000C69D7">
        <w:rPr>
          <w:rFonts w:asciiTheme="minorHAnsi" w:hAnsiTheme="minorHAnsi"/>
          <w:sz w:val="22"/>
          <w:szCs w:val="22"/>
        </w:rPr>
        <w:t>6-7</w:t>
      </w:r>
      <w:r w:rsidRPr="00007D7D">
        <w:rPr>
          <w:rFonts w:asciiTheme="minorHAnsi" w:hAnsiTheme="minorHAnsi"/>
          <w:sz w:val="22"/>
          <w:szCs w:val="22"/>
        </w:rPr>
        <w:t xml:space="preserve"> of the Results section.</w:t>
      </w:r>
    </w:p>
    <w:p w14:paraId="2F534FD0" w14:textId="77777777" w:rsidR="008711A8" w:rsidRDefault="008711A8" w:rsidP="008711A8">
      <w:pPr>
        <w:framePr w:w="8173" w:h="4237" w:hSpace="180" w:wrap="around" w:vAnchor="text" w:hAnchor="page" w:x="1825" w:y="206"/>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A29BD33" w14:textId="77777777" w:rsidR="008711A8" w:rsidRPr="00ED7A21" w:rsidRDefault="008711A8" w:rsidP="008711A8">
      <w:pPr>
        <w:framePr w:w="8173" w:h="4237" w:hSpace="180" w:wrap="around" w:vAnchor="text" w:hAnchor="page" w:x="1825" w:y="206"/>
        <w:pBdr>
          <w:top w:val="single" w:sz="6" w:space="1" w:color="auto"/>
          <w:left w:val="single" w:sz="6" w:space="1" w:color="auto"/>
          <w:bottom w:val="single" w:sz="6" w:space="1" w:color="auto"/>
          <w:right w:val="single" w:sz="6" w:space="1" w:color="auto"/>
        </w:pBdr>
        <w:rPr>
          <w:rFonts w:asciiTheme="minorHAnsi" w:hAnsiTheme="minorHAnsi"/>
          <w:b/>
          <w:sz w:val="22"/>
          <w:szCs w:val="22"/>
        </w:rPr>
      </w:pPr>
      <w:r w:rsidRPr="00ED7A21">
        <w:rPr>
          <w:rFonts w:asciiTheme="minorHAnsi" w:hAnsiTheme="minorHAnsi"/>
          <w:b/>
          <w:sz w:val="22"/>
          <w:szCs w:val="22"/>
        </w:rPr>
        <w:t>Tissue culture</w:t>
      </w:r>
    </w:p>
    <w:p w14:paraId="1E4C10D1" w14:textId="77777777" w:rsidR="008711A8" w:rsidRDefault="008711A8" w:rsidP="008711A8">
      <w:pPr>
        <w:framePr w:w="8173" w:h="4237" w:hSpace="180" w:wrap="around" w:vAnchor="text" w:hAnchor="page" w:x="1825" w:y="206"/>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All cell culture experiments in the main figures were biologically repeated a minimum of 3 times, the majority of which were repeated 4 times or more, as indicated in legends. </w:t>
      </w:r>
    </w:p>
    <w:p w14:paraId="672DD9BF" w14:textId="77777777" w:rsidR="008711A8" w:rsidRPr="00ED7A21" w:rsidRDefault="008711A8" w:rsidP="008711A8">
      <w:pPr>
        <w:framePr w:w="8173" w:h="4237" w:hSpace="180" w:wrap="around" w:vAnchor="text" w:hAnchor="page" w:x="1825" w:y="206"/>
        <w:pBdr>
          <w:top w:val="single" w:sz="6" w:space="1" w:color="auto"/>
          <w:left w:val="single" w:sz="6" w:space="1" w:color="auto"/>
          <w:bottom w:val="single" w:sz="6" w:space="1" w:color="auto"/>
          <w:right w:val="single" w:sz="6" w:space="1" w:color="auto"/>
        </w:pBdr>
        <w:rPr>
          <w:rFonts w:asciiTheme="minorHAnsi" w:hAnsiTheme="minorHAnsi"/>
          <w:b/>
          <w:sz w:val="22"/>
          <w:szCs w:val="22"/>
        </w:rPr>
      </w:pPr>
    </w:p>
    <w:p w14:paraId="65075A96" w14:textId="77777777" w:rsidR="008711A8" w:rsidRPr="00ED7A21" w:rsidRDefault="008711A8" w:rsidP="008711A8">
      <w:pPr>
        <w:framePr w:w="8173" w:h="4237" w:hSpace="180" w:wrap="around" w:vAnchor="text" w:hAnchor="page" w:x="1825" w:y="206"/>
        <w:pBdr>
          <w:top w:val="single" w:sz="6" w:space="1" w:color="auto"/>
          <w:left w:val="single" w:sz="6" w:space="1" w:color="auto"/>
          <w:bottom w:val="single" w:sz="6" w:space="1" w:color="auto"/>
          <w:right w:val="single" w:sz="6" w:space="1" w:color="auto"/>
        </w:pBdr>
        <w:rPr>
          <w:rFonts w:asciiTheme="minorHAnsi" w:hAnsiTheme="minorHAnsi"/>
          <w:b/>
          <w:sz w:val="22"/>
          <w:szCs w:val="22"/>
        </w:rPr>
      </w:pPr>
      <w:r w:rsidRPr="00ED7A21">
        <w:rPr>
          <w:rFonts w:asciiTheme="minorHAnsi" w:hAnsiTheme="minorHAnsi"/>
          <w:b/>
          <w:sz w:val="22"/>
          <w:szCs w:val="22"/>
        </w:rPr>
        <w:t>Human genetics</w:t>
      </w:r>
    </w:p>
    <w:p w14:paraId="662B2367" w14:textId="77777777" w:rsidR="008711A8" w:rsidRDefault="008711A8" w:rsidP="008711A8">
      <w:pPr>
        <w:framePr w:w="8173" w:h="4237" w:hSpace="180" w:wrap="around" w:vAnchor="text" w:hAnchor="page" w:x="1825" w:y="206"/>
        <w:pBdr>
          <w:top w:val="single" w:sz="6" w:space="1" w:color="auto"/>
          <w:left w:val="single" w:sz="6" w:space="1" w:color="auto"/>
          <w:bottom w:val="single" w:sz="6" w:space="1" w:color="auto"/>
          <w:right w:val="single" w:sz="6" w:space="1" w:color="auto"/>
        </w:pBdr>
        <w:rPr>
          <w:rFonts w:asciiTheme="minorHAnsi" w:hAnsiTheme="minorHAnsi" w:cstheme="minorHAnsi"/>
          <w:color w:val="000000" w:themeColor="text1"/>
          <w:sz w:val="22"/>
          <w:szCs w:val="22"/>
        </w:rPr>
      </w:pPr>
      <w:r>
        <w:rPr>
          <w:rFonts w:asciiTheme="minorHAnsi" w:hAnsiTheme="minorHAnsi"/>
          <w:sz w:val="22"/>
          <w:szCs w:val="22"/>
        </w:rPr>
        <w:t xml:space="preserve">The increased power of the PrediXcan (Gamazon et al, Nature Genetics, 2015) or TWAS approach (Gusev et al, Nature Genetics, 2016) was explored in the original publications. Indeed, there was significantly improved power relative to the approach using the top eQTLs (which also had already significantly greater power than traditional SNP-based approach).  </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023BB91B" w14:textId="7B9B965E" w:rsidR="00C10FE0" w:rsidRDefault="00C10FE0" w:rsidP="00C10FE0">
      <w:pPr>
        <w:framePr w:w="8329" w:h="1088" w:hSpace="180" w:wrap="around" w:vAnchor="text" w:hAnchor="page" w:x="1861" w:y="55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1. For all experiments </w:t>
      </w:r>
      <w:r w:rsidR="00E03D56">
        <w:rPr>
          <w:rFonts w:asciiTheme="minorHAnsi" w:hAnsiTheme="minorHAnsi"/>
          <w:sz w:val="22"/>
          <w:szCs w:val="22"/>
        </w:rPr>
        <w:t xml:space="preserve">and human genetics data, </w:t>
      </w:r>
      <w:r w:rsidRPr="00160221">
        <w:rPr>
          <w:rFonts w:asciiTheme="minorHAnsi" w:hAnsiTheme="minorHAnsi"/>
          <w:sz w:val="22"/>
          <w:szCs w:val="22"/>
        </w:rPr>
        <w:t>information concerning the number of replicates is provided in each figure legend</w:t>
      </w:r>
      <w:r>
        <w:rPr>
          <w:rFonts w:asciiTheme="minorHAnsi" w:hAnsiTheme="minorHAnsi"/>
          <w:sz w:val="22"/>
          <w:szCs w:val="22"/>
        </w:rPr>
        <w:t xml:space="preserve"> (noted as n=)</w:t>
      </w:r>
      <w:r w:rsidR="00E03D56">
        <w:rPr>
          <w:rFonts w:asciiTheme="minorHAnsi" w:hAnsiTheme="minorHAnsi"/>
          <w:sz w:val="22"/>
          <w:szCs w:val="22"/>
        </w:rPr>
        <w:t xml:space="preserve"> or within the Results section of the corresponding section (</w:t>
      </w:r>
      <w:r w:rsidR="00E61D60">
        <w:rPr>
          <w:rFonts w:asciiTheme="minorHAnsi" w:hAnsiTheme="minorHAnsi"/>
          <w:sz w:val="22"/>
          <w:szCs w:val="22"/>
        </w:rPr>
        <w:t>for example the</w:t>
      </w:r>
      <w:r w:rsidR="00E03D56">
        <w:rPr>
          <w:rFonts w:asciiTheme="minorHAnsi" w:hAnsiTheme="minorHAnsi"/>
          <w:sz w:val="22"/>
          <w:szCs w:val="22"/>
        </w:rPr>
        <w:t xml:space="preserve"> number of individuals in</w:t>
      </w:r>
      <w:r w:rsidR="00E61D60">
        <w:rPr>
          <w:rFonts w:asciiTheme="minorHAnsi" w:hAnsiTheme="minorHAnsi"/>
          <w:sz w:val="22"/>
          <w:szCs w:val="22"/>
        </w:rPr>
        <w:t xml:space="preserve"> a</w:t>
      </w:r>
      <w:r w:rsidR="00E03D56">
        <w:rPr>
          <w:rFonts w:asciiTheme="minorHAnsi" w:hAnsiTheme="minorHAnsi"/>
          <w:sz w:val="22"/>
          <w:szCs w:val="22"/>
        </w:rPr>
        <w:t xml:space="preserve"> GWAS cohort)</w:t>
      </w:r>
      <w:r w:rsidRPr="00160221">
        <w:rPr>
          <w:rFonts w:asciiTheme="minorHAnsi" w:hAnsiTheme="minorHAnsi"/>
          <w:sz w:val="22"/>
          <w:szCs w:val="22"/>
        </w:rPr>
        <w:t>.</w:t>
      </w:r>
      <w:r>
        <w:rPr>
          <w:rFonts w:asciiTheme="minorHAnsi" w:hAnsiTheme="minorHAnsi"/>
          <w:sz w:val="22"/>
          <w:szCs w:val="22"/>
        </w:rPr>
        <w:t xml:space="preserve"> </w:t>
      </w:r>
    </w:p>
    <w:p w14:paraId="4838E18D" w14:textId="77777777" w:rsidR="00C10FE0" w:rsidRDefault="00C10FE0" w:rsidP="00C10FE0">
      <w:pPr>
        <w:framePr w:w="8329" w:h="1088" w:hSpace="180" w:wrap="around" w:vAnchor="text" w:hAnchor="page" w:x="1861" w:y="55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2. Biological replicates are defined in the statistics portion of the Methods section and are as follows: the same experimental method independently tested on different samples of the same type of cell or mouse model. </w:t>
      </w:r>
    </w:p>
    <w:p w14:paraId="4931C686" w14:textId="744C59B8" w:rsidR="00C10FE0" w:rsidRDefault="00C10FE0" w:rsidP="00C10FE0">
      <w:pPr>
        <w:framePr w:w="8329" w:h="1088" w:hSpace="180" w:wrap="around" w:vAnchor="text" w:hAnchor="page" w:x="1861" w:y="55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3. For human genetics studies, we replicate all findings in independent cohorts as stated throughout the results section. Please see the above comments </w:t>
      </w:r>
      <w:r w:rsidR="00E03D56">
        <w:rPr>
          <w:rFonts w:asciiTheme="minorHAnsi" w:hAnsiTheme="minorHAnsi"/>
          <w:sz w:val="22"/>
          <w:szCs w:val="22"/>
        </w:rPr>
        <w:t>for number of patients.</w:t>
      </w:r>
    </w:p>
    <w:p w14:paraId="027A3E0C" w14:textId="039BA127" w:rsidR="00C10FE0" w:rsidRDefault="00C10FE0" w:rsidP="00C10FE0">
      <w:pPr>
        <w:framePr w:w="8329" w:h="1088" w:hSpace="180" w:wrap="around" w:vAnchor="text" w:hAnchor="page" w:x="1861" w:y="55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4. For epinephrine treated mice presented in Figure </w:t>
      </w:r>
      <w:r w:rsidR="000C69D7">
        <w:rPr>
          <w:rFonts w:asciiTheme="minorHAnsi" w:hAnsiTheme="minorHAnsi"/>
          <w:sz w:val="22"/>
          <w:szCs w:val="22"/>
        </w:rPr>
        <w:t>4</w:t>
      </w:r>
      <w:r>
        <w:rPr>
          <w:rFonts w:asciiTheme="minorHAnsi" w:hAnsiTheme="minorHAnsi"/>
          <w:sz w:val="22"/>
          <w:szCs w:val="22"/>
        </w:rPr>
        <w:t>c-</w:t>
      </w:r>
      <w:r w:rsidR="000C69D7">
        <w:rPr>
          <w:rFonts w:asciiTheme="minorHAnsi" w:hAnsiTheme="minorHAnsi"/>
          <w:sz w:val="22"/>
          <w:szCs w:val="22"/>
        </w:rPr>
        <w:t>g</w:t>
      </w:r>
      <w:r>
        <w:rPr>
          <w:rFonts w:asciiTheme="minorHAnsi" w:hAnsiTheme="minorHAnsi"/>
          <w:sz w:val="22"/>
          <w:szCs w:val="22"/>
        </w:rPr>
        <w:t xml:space="preserve">, one </w:t>
      </w:r>
      <w:r w:rsidRPr="00501A7E">
        <w:rPr>
          <w:rFonts w:asciiTheme="minorHAnsi" w:hAnsiTheme="minorHAnsi"/>
          <w:i/>
          <w:sz w:val="22"/>
          <w:szCs w:val="22"/>
        </w:rPr>
        <w:t>Bid-/-</w:t>
      </w:r>
      <w:r>
        <w:rPr>
          <w:rFonts w:asciiTheme="minorHAnsi" w:hAnsiTheme="minorHAnsi"/>
          <w:sz w:val="22"/>
          <w:szCs w:val="22"/>
        </w:rPr>
        <w:t xml:space="preserve"> was not included as it was a clear biological and statistical outlier </w:t>
      </w:r>
      <w:r w:rsidR="00501A7E">
        <w:rPr>
          <w:rFonts w:asciiTheme="minorHAnsi" w:hAnsiTheme="minorHAnsi"/>
          <w:sz w:val="22"/>
          <w:szCs w:val="22"/>
        </w:rPr>
        <w:t>(</w:t>
      </w:r>
      <w:r>
        <w:rPr>
          <w:rFonts w:asciiTheme="minorHAnsi" w:hAnsiTheme="minorHAnsi"/>
          <w:sz w:val="22"/>
          <w:szCs w:val="22"/>
        </w:rPr>
        <w:t>based on Grubbs</w:t>
      </w:r>
      <w:r w:rsidR="00501A7E">
        <w:rPr>
          <w:rFonts w:asciiTheme="minorHAnsi" w:hAnsiTheme="minorHAnsi"/>
          <w:sz w:val="22"/>
          <w:szCs w:val="22"/>
        </w:rPr>
        <w:t xml:space="preserve">’ outlier test, p&lt;0.05). This is noted in the </w:t>
      </w:r>
      <w:r w:rsidR="00FD4CB4">
        <w:rPr>
          <w:rFonts w:asciiTheme="minorHAnsi" w:hAnsiTheme="minorHAnsi"/>
          <w:sz w:val="22"/>
          <w:szCs w:val="22"/>
        </w:rPr>
        <w:t>statistics Methods on page 27.</w:t>
      </w:r>
      <w:r w:rsidR="00501A7E">
        <w:rPr>
          <w:rFonts w:asciiTheme="minorHAnsi" w:hAnsiTheme="minorHAnsi"/>
          <w:sz w:val="22"/>
          <w:szCs w:val="22"/>
        </w:rPr>
        <w:t xml:space="preserve"> </w:t>
      </w:r>
    </w:p>
    <w:p w14:paraId="1599ED88" w14:textId="3DD6B1B0" w:rsidR="00C10FE0" w:rsidRPr="00160221" w:rsidRDefault="00C10FE0" w:rsidP="00C10FE0">
      <w:pPr>
        <w:framePr w:w="8329" w:h="1088" w:hSpace="180" w:wrap="around" w:vAnchor="text" w:hAnchor="page" w:x="1861" w:y="558"/>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5.</w:t>
      </w:r>
      <w:r w:rsidR="00E61D60">
        <w:rPr>
          <w:rFonts w:asciiTheme="minorHAnsi" w:hAnsiTheme="minorHAnsi"/>
          <w:sz w:val="22"/>
          <w:szCs w:val="22"/>
        </w:rPr>
        <w:t xml:space="preserve"> </w:t>
      </w:r>
      <w:r w:rsidR="00B92439">
        <w:rPr>
          <w:rFonts w:asciiTheme="minorHAnsi" w:hAnsiTheme="minorHAnsi"/>
          <w:sz w:val="22"/>
          <w:szCs w:val="22"/>
        </w:rPr>
        <w:t xml:space="preserve">GTEx v6 data (high throughput transcriptome </w:t>
      </w:r>
      <w:r w:rsidR="00F16369">
        <w:rPr>
          <w:rFonts w:asciiTheme="minorHAnsi" w:hAnsiTheme="minorHAnsi"/>
          <w:sz w:val="22"/>
          <w:szCs w:val="22"/>
        </w:rPr>
        <w:t xml:space="preserve">sequence </w:t>
      </w:r>
      <w:r w:rsidR="00B92439">
        <w:rPr>
          <w:rFonts w:asciiTheme="minorHAnsi" w:hAnsiTheme="minorHAnsi"/>
          <w:sz w:val="22"/>
          <w:szCs w:val="22"/>
        </w:rPr>
        <w:t>data) have been made available to the scientific community from</w:t>
      </w:r>
      <w:r w:rsidR="0075542C">
        <w:rPr>
          <w:rFonts w:asciiTheme="minorHAnsi" w:hAnsiTheme="minorHAnsi"/>
          <w:sz w:val="22"/>
          <w:szCs w:val="22"/>
        </w:rPr>
        <w:t xml:space="preserve"> the GTEx portal (</w:t>
      </w:r>
      <w:hyperlink r:id="rId12" w:history="1">
        <w:r w:rsidR="00B92439" w:rsidRPr="006649B5">
          <w:rPr>
            <w:rStyle w:val="Hyperlink"/>
            <w:rFonts w:asciiTheme="minorHAnsi" w:hAnsiTheme="minorHAnsi"/>
            <w:sz w:val="22"/>
            <w:szCs w:val="22"/>
          </w:rPr>
          <w:t>http://www.gtexportal.org</w:t>
        </w:r>
      </w:hyperlink>
      <w:r w:rsidR="0075542C">
        <w:rPr>
          <w:rFonts w:asciiTheme="minorHAnsi" w:hAnsiTheme="minorHAnsi"/>
          <w:sz w:val="22"/>
          <w:szCs w:val="22"/>
        </w:rPr>
        <w:t>) and dbGap (GTEx Consortium, Nature, 2017).</w:t>
      </w: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3E1A6B61" w14:textId="354B7E87"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0BC0373F" w14:textId="7ED88683" w:rsidR="008267F6" w:rsidRDefault="008267F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1. </w:t>
      </w:r>
      <w:r w:rsidR="00086AD8">
        <w:rPr>
          <w:rFonts w:asciiTheme="minorHAnsi" w:hAnsiTheme="minorHAnsi"/>
          <w:sz w:val="22"/>
          <w:szCs w:val="22"/>
        </w:rPr>
        <w:t>A comprehensive description of</w:t>
      </w:r>
      <w:r w:rsidR="00E03D56">
        <w:rPr>
          <w:rFonts w:asciiTheme="minorHAnsi" w:hAnsiTheme="minorHAnsi"/>
          <w:sz w:val="22"/>
          <w:szCs w:val="22"/>
        </w:rPr>
        <w:t xml:space="preserve"> all</w:t>
      </w:r>
      <w:r w:rsidR="00086AD8">
        <w:rPr>
          <w:rFonts w:asciiTheme="minorHAnsi" w:hAnsiTheme="minorHAnsi"/>
          <w:sz w:val="22"/>
          <w:szCs w:val="22"/>
        </w:rPr>
        <w:t xml:space="preserve"> statis</w:t>
      </w:r>
      <w:r w:rsidR="00524E24">
        <w:rPr>
          <w:rFonts w:asciiTheme="minorHAnsi" w:hAnsiTheme="minorHAnsi"/>
          <w:sz w:val="22"/>
          <w:szCs w:val="22"/>
        </w:rPr>
        <w:t>tics</w:t>
      </w:r>
      <w:r w:rsidR="00601505">
        <w:rPr>
          <w:rFonts w:asciiTheme="minorHAnsi" w:hAnsiTheme="minorHAnsi"/>
          <w:sz w:val="22"/>
          <w:szCs w:val="22"/>
        </w:rPr>
        <w:t xml:space="preserve"> are </w:t>
      </w:r>
      <w:r w:rsidR="00086AD8">
        <w:rPr>
          <w:rFonts w:asciiTheme="minorHAnsi" w:hAnsiTheme="minorHAnsi"/>
          <w:sz w:val="22"/>
          <w:szCs w:val="22"/>
        </w:rPr>
        <w:t xml:space="preserve">provided in the </w:t>
      </w:r>
      <w:r>
        <w:rPr>
          <w:rFonts w:asciiTheme="minorHAnsi" w:hAnsiTheme="minorHAnsi"/>
          <w:sz w:val="22"/>
          <w:szCs w:val="22"/>
        </w:rPr>
        <w:t>M</w:t>
      </w:r>
      <w:r w:rsidR="00086AD8">
        <w:rPr>
          <w:rFonts w:asciiTheme="minorHAnsi" w:hAnsiTheme="minorHAnsi"/>
          <w:sz w:val="22"/>
          <w:szCs w:val="22"/>
        </w:rPr>
        <w:t>ethods section</w:t>
      </w:r>
      <w:r w:rsidR="009044D6">
        <w:rPr>
          <w:rFonts w:asciiTheme="minorHAnsi" w:hAnsiTheme="minorHAnsi"/>
          <w:sz w:val="22"/>
          <w:szCs w:val="22"/>
        </w:rPr>
        <w:t xml:space="preserve"> </w:t>
      </w:r>
      <w:r w:rsidR="00086AD8">
        <w:rPr>
          <w:rFonts w:asciiTheme="minorHAnsi" w:hAnsiTheme="minorHAnsi"/>
          <w:sz w:val="22"/>
          <w:szCs w:val="22"/>
        </w:rPr>
        <w:t>of the paper</w:t>
      </w:r>
      <w:r w:rsidR="00524E24">
        <w:rPr>
          <w:rFonts w:asciiTheme="minorHAnsi" w:hAnsiTheme="minorHAnsi"/>
          <w:sz w:val="22"/>
          <w:szCs w:val="22"/>
        </w:rPr>
        <w:t>,</w:t>
      </w:r>
      <w:r>
        <w:rPr>
          <w:rFonts w:asciiTheme="minorHAnsi" w:hAnsiTheme="minorHAnsi"/>
          <w:sz w:val="22"/>
          <w:szCs w:val="22"/>
        </w:rPr>
        <w:t xml:space="preserve"> as well as in </w:t>
      </w:r>
      <w:r w:rsidR="009044D6">
        <w:rPr>
          <w:rFonts w:asciiTheme="minorHAnsi" w:hAnsiTheme="minorHAnsi"/>
          <w:sz w:val="22"/>
          <w:szCs w:val="22"/>
        </w:rPr>
        <w:t>detail for</w:t>
      </w:r>
      <w:r w:rsidR="00601505">
        <w:rPr>
          <w:rFonts w:asciiTheme="minorHAnsi" w:hAnsiTheme="minorHAnsi"/>
          <w:sz w:val="22"/>
          <w:szCs w:val="22"/>
        </w:rPr>
        <w:t xml:space="preserve"> </w:t>
      </w:r>
      <w:r w:rsidR="00A23C36">
        <w:rPr>
          <w:rFonts w:asciiTheme="minorHAnsi" w:hAnsiTheme="minorHAnsi"/>
          <w:sz w:val="22"/>
          <w:szCs w:val="22"/>
        </w:rPr>
        <w:t xml:space="preserve">each </w:t>
      </w:r>
      <w:r w:rsidR="00601505">
        <w:rPr>
          <w:rFonts w:asciiTheme="minorHAnsi" w:hAnsiTheme="minorHAnsi"/>
          <w:sz w:val="22"/>
          <w:szCs w:val="22"/>
        </w:rPr>
        <w:t xml:space="preserve">figure </w:t>
      </w:r>
      <w:r w:rsidR="009044D6">
        <w:rPr>
          <w:rFonts w:asciiTheme="minorHAnsi" w:hAnsiTheme="minorHAnsi"/>
          <w:sz w:val="22"/>
          <w:szCs w:val="22"/>
        </w:rPr>
        <w:t xml:space="preserve">panel </w:t>
      </w:r>
      <w:r w:rsidR="00601505">
        <w:rPr>
          <w:rFonts w:asciiTheme="minorHAnsi" w:hAnsiTheme="minorHAnsi"/>
          <w:sz w:val="22"/>
          <w:szCs w:val="22"/>
        </w:rPr>
        <w:t xml:space="preserve">within the </w:t>
      </w:r>
      <w:r>
        <w:rPr>
          <w:rFonts w:asciiTheme="minorHAnsi" w:hAnsiTheme="minorHAnsi"/>
          <w:sz w:val="22"/>
          <w:szCs w:val="22"/>
        </w:rPr>
        <w:t>legends</w:t>
      </w:r>
      <w:r w:rsidR="00601505">
        <w:rPr>
          <w:rFonts w:asciiTheme="minorHAnsi" w:hAnsiTheme="minorHAnsi"/>
          <w:sz w:val="22"/>
          <w:szCs w:val="22"/>
        </w:rPr>
        <w:t xml:space="preserve"> (when applicable). </w:t>
      </w:r>
      <w:r>
        <w:rPr>
          <w:rFonts w:asciiTheme="minorHAnsi" w:hAnsiTheme="minorHAnsi"/>
          <w:sz w:val="22"/>
          <w:szCs w:val="22"/>
        </w:rPr>
        <w:t xml:space="preserve"> </w:t>
      </w:r>
      <w:r w:rsidR="001F74DB">
        <w:rPr>
          <w:rFonts w:asciiTheme="minorHAnsi" w:hAnsiTheme="minorHAnsi"/>
          <w:sz w:val="22"/>
          <w:szCs w:val="22"/>
        </w:rPr>
        <w:t xml:space="preserve"> </w:t>
      </w:r>
    </w:p>
    <w:p w14:paraId="387A4AB4" w14:textId="101ED20B" w:rsidR="009044D6" w:rsidRDefault="008267F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2. </w:t>
      </w:r>
      <w:r w:rsidR="009044D6">
        <w:rPr>
          <w:rFonts w:asciiTheme="minorHAnsi" w:hAnsiTheme="minorHAnsi"/>
          <w:sz w:val="22"/>
          <w:szCs w:val="22"/>
        </w:rPr>
        <w:t>Raw data has been provided</w:t>
      </w:r>
      <w:r w:rsidR="00601505">
        <w:rPr>
          <w:rFonts w:asciiTheme="minorHAnsi" w:hAnsiTheme="minorHAnsi"/>
          <w:sz w:val="22"/>
          <w:szCs w:val="22"/>
        </w:rPr>
        <w:t xml:space="preserve"> throughout the manuscript and in figures:</w:t>
      </w:r>
      <w:r w:rsidR="00E03D56">
        <w:rPr>
          <w:rFonts w:asciiTheme="minorHAnsi" w:hAnsiTheme="minorHAnsi"/>
          <w:sz w:val="22"/>
          <w:szCs w:val="22"/>
        </w:rPr>
        <w:t xml:space="preserve"> 1.) </w:t>
      </w:r>
      <w:r w:rsidR="009044D6">
        <w:rPr>
          <w:rFonts w:asciiTheme="minorHAnsi" w:hAnsiTheme="minorHAnsi"/>
          <w:sz w:val="22"/>
          <w:szCs w:val="22"/>
        </w:rPr>
        <w:t xml:space="preserve">in </w:t>
      </w:r>
      <w:r w:rsidR="00601505">
        <w:rPr>
          <w:rFonts w:asciiTheme="minorHAnsi" w:hAnsiTheme="minorHAnsi"/>
          <w:sz w:val="22"/>
          <w:szCs w:val="22"/>
        </w:rPr>
        <w:t xml:space="preserve">the </w:t>
      </w:r>
      <w:r w:rsidR="009044D6">
        <w:rPr>
          <w:rFonts w:asciiTheme="minorHAnsi" w:hAnsiTheme="minorHAnsi"/>
          <w:sz w:val="22"/>
          <w:szCs w:val="22"/>
        </w:rPr>
        <w:t>form of individual data points</w:t>
      </w:r>
      <w:r w:rsidR="00601505">
        <w:rPr>
          <w:rFonts w:asciiTheme="minorHAnsi" w:hAnsiTheme="minorHAnsi"/>
          <w:sz w:val="22"/>
          <w:szCs w:val="22"/>
        </w:rPr>
        <w:t xml:space="preserve"> when biologically pertinent </w:t>
      </w:r>
      <w:r w:rsidR="009044D6">
        <w:rPr>
          <w:rFonts w:asciiTheme="minorHAnsi" w:hAnsiTheme="minorHAnsi"/>
          <w:sz w:val="22"/>
          <w:szCs w:val="22"/>
        </w:rPr>
        <w:t>(see</w:t>
      </w:r>
      <w:r w:rsidR="00842508">
        <w:rPr>
          <w:rFonts w:asciiTheme="minorHAnsi" w:hAnsiTheme="minorHAnsi"/>
          <w:sz w:val="22"/>
          <w:szCs w:val="22"/>
        </w:rPr>
        <w:t xml:space="preserve">: </w:t>
      </w:r>
      <w:r w:rsidR="009044D6">
        <w:rPr>
          <w:rFonts w:asciiTheme="minorHAnsi" w:hAnsiTheme="minorHAnsi"/>
          <w:sz w:val="22"/>
          <w:szCs w:val="22"/>
        </w:rPr>
        <w:t xml:space="preserve">Figure </w:t>
      </w:r>
      <w:r w:rsidR="000C69D7">
        <w:rPr>
          <w:rFonts w:asciiTheme="minorHAnsi" w:hAnsiTheme="minorHAnsi"/>
          <w:sz w:val="22"/>
          <w:szCs w:val="22"/>
        </w:rPr>
        <w:t>4c-d</w:t>
      </w:r>
      <w:r w:rsidR="00842508">
        <w:rPr>
          <w:rFonts w:asciiTheme="minorHAnsi" w:hAnsiTheme="minorHAnsi"/>
          <w:sz w:val="22"/>
          <w:szCs w:val="22"/>
        </w:rPr>
        <w:t xml:space="preserve"> and Figure 4-figure supplement 3</w:t>
      </w:r>
      <w:r w:rsidR="00FD4CB4">
        <w:rPr>
          <w:rFonts w:asciiTheme="minorHAnsi" w:hAnsiTheme="minorHAnsi"/>
          <w:sz w:val="22"/>
          <w:szCs w:val="22"/>
        </w:rPr>
        <w:t>, Figure 6</w:t>
      </w:r>
      <w:r w:rsidR="00842508">
        <w:rPr>
          <w:rFonts w:asciiTheme="minorHAnsi" w:hAnsiTheme="minorHAnsi"/>
          <w:sz w:val="22"/>
          <w:szCs w:val="22"/>
        </w:rPr>
        <w:t xml:space="preserve">-figure supplement 4e, and </w:t>
      </w:r>
      <w:r w:rsidR="000C69D7">
        <w:rPr>
          <w:rFonts w:asciiTheme="minorHAnsi" w:hAnsiTheme="minorHAnsi"/>
          <w:sz w:val="22"/>
          <w:szCs w:val="22"/>
        </w:rPr>
        <w:t>Figure 6b</w:t>
      </w:r>
      <w:r w:rsidR="00842508">
        <w:rPr>
          <w:rFonts w:asciiTheme="minorHAnsi" w:hAnsiTheme="minorHAnsi"/>
          <w:sz w:val="22"/>
          <w:szCs w:val="22"/>
        </w:rPr>
        <w:t xml:space="preserve">) </w:t>
      </w:r>
      <w:r w:rsidR="00601505">
        <w:rPr>
          <w:rFonts w:asciiTheme="minorHAnsi" w:hAnsiTheme="minorHAnsi"/>
          <w:sz w:val="22"/>
          <w:szCs w:val="22"/>
        </w:rPr>
        <w:t xml:space="preserve">and </w:t>
      </w:r>
      <w:r w:rsidR="00E03D56">
        <w:rPr>
          <w:rFonts w:asciiTheme="minorHAnsi" w:hAnsiTheme="minorHAnsi"/>
          <w:sz w:val="22"/>
          <w:szCs w:val="22"/>
        </w:rPr>
        <w:t>2</w:t>
      </w:r>
      <w:r w:rsidR="00601505">
        <w:rPr>
          <w:rFonts w:asciiTheme="minorHAnsi" w:hAnsiTheme="minorHAnsi"/>
          <w:sz w:val="22"/>
          <w:szCs w:val="22"/>
        </w:rPr>
        <w:t>.) for human genetics analysis (Figure 7</w:t>
      </w:r>
      <w:r w:rsidR="00FD4CB4">
        <w:rPr>
          <w:rFonts w:asciiTheme="minorHAnsi" w:hAnsiTheme="minorHAnsi"/>
          <w:sz w:val="22"/>
          <w:szCs w:val="22"/>
        </w:rPr>
        <w:t>b</w:t>
      </w:r>
      <w:r w:rsidR="00842508">
        <w:rPr>
          <w:rFonts w:asciiTheme="minorHAnsi" w:hAnsiTheme="minorHAnsi"/>
          <w:sz w:val="22"/>
          <w:szCs w:val="22"/>
        </w:rPr>
        <w:t xml:space="preserve"> </w:t>
      </w:r>
      <w:r w:rsidR="00601505">
        <w:rPr>
          <w:rFonts w:asciiTheme="minorHAnsi" w:hAnsiTheme="minorHAnsi"/>
          <w:sz w:val="22"/>
          <w:szCs w:val="22"/>
        </w:rPr>
        <w:t xml:space="preserve">and </w:t>
      </w:r>
      <w:r w:rsidR="00842508">
        <w:rPr>
          <w:rFonts w:asciiTheme="minorHAnsi" w:hAnsiTheme="minorHAnsi"/>
          <w:sz w:val="22"/>
          <w:szCs w:val="22"/>
        </w:rPr>
        <w:t xml:space="preserve"> Figure 7-figure s</w:t>
      </w:r>
      <w:r w:rsidR="00601505">
        <w:rPr>
          <w:rFonts w:asciiTheme="minorHAnsi" w:hAnsiTheme="minorHAnsi"/>
          <w:sz w:val="22"/>
          <w:szCs w:val="22"/>
        </w:rPr>
        <w:t xml:space="preserve">upplemental </w:t>
      </w:r>
      <w:r w:rsidR="00842508">
        <w:rPr>
          <w:rFonts w:asciiTheme="minorHAnsi" w:hAnsiTheme="minorHAnsi"/>
          <w:sz w:val="22"/>
          <w:szCs w:val="22"/>
        </w:rPr>
        <w:t>6</w:t>
      </w:r>
      <w:r w:rsidR="00FD4CB4">
        <w:rPr>
          <w:rFonts w:asciiTheme="minorHAnsi" w:hAnsiTheme="minorHAnsi"/>
          <w:sz w:val="22"/>
          <w:szCs w:val="22"/>
        </w:rPr>
        <w:t>c</w:t>
      </w:r>
      <w:r w:rsidR="00601505">
        <w:rPr>
          <w:rFonts w:asciiTheme="minorHAnsi" w:hAnsiTheme="minorHAnsi"/>
          <w:sz w:val="22"/>
          <w:szCs w:val="22"/>
        </w:rPr>
        <w:t>).</w:t>
      </w:r>
    </w:p>
    <w:p w14:paraId="64AF19A3" w14:textId="0849E1B1" w:rsidR="00E73253" w:rsidRDefault="009044D6"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3. </w:t>
      </w:r>
      <w:r w:rsidR="008267F6">
        <w:rPr>
          <w:rFonts w:asciiTheme="minorHAnsi" w:hAnsiTheme="minorHAnsi"/>
          <w:sz w:val="22"/>
          <w:szCs w:val="22"/>
        </w:rPr>
        <w:t xml:space="preserve">Exact </w:t>
      </w:r>
      <w:r w:rsidR="00E73253">
        <w:rPr>
          <w:rFonts w:asciiTheme="minorHAnsi" w:hAnsiTheme="minorHAnsi"/>
          <w:sz w:val="22"/>
          <w:szCs w:val="22"/>
        </w:rPr>
        <w:t xml:space="preserve">statistical tests, </w:t>
      </w:r>
      <w:r w:rsidR="008267F6">
        <w:rPr>
          <w:rFonts w:asciiTheme="minorHAnsi" w:hAnsiTheme="minorHAnsi"/>
          <w:sz w:val="22"/>
          <w:szCs w:val="22"/>
        </w:rPr>
        <w:t>N</w:t>
      </w:r>
      <w:r w:rsidR="00E73253">
        <w:rPr>
          <w:rFonts w:asciiTheme="minorHAnsi" w:hAnsiTheme="minorHAnsi"/>
          <w:sz w:val="22"/>
          <w:szCs w:val="22"/>
        </w:rPr>
        <w:t xml:space="preserve"> values, and </w:t>
      </w:r>
      <w:r w:rsidR="00A23C36">
        <w:rPr>
          <w:rFonts w:asciiTheme="minorHAnsi" w:hAnsiTheme="minorHAnsi"/>
          <w:sz w:val="22"/>
          <w:szCs w:val="22"/>
        </w:rPr>
        <w:t xml:space="preserve">dispersion (means) and </w:t>
      </w:r>
      <w:r w:rsidR="00E73253">
        <w:rPr>
          <w:rFonts w:asciiTheme="minorHAnsi" w:hAnsiTheme="minorHAnsi"/>
          <w:sz w:val="22"/>
          <w:szCs w:val="22"/>
        </w:rPr>
        <w:t>precision measurements (SEM</w:t>
      </w:r>
      <w:r w:rsidR="001F74DB">
        <w:rPr>
          <w:rFonts w:asciiTheme="minorHAnsi" w:hAnsiTheme="minorHAnsi"/>
          <w:sz w:val="22"/>
          <w:szCs w:val="22"/>
        </w:rPr>
        <w:t xml:space="preserve"> and 95% confidence intervals</w:t>
      </w:r>
      <w:r w:rsidR="00E73253">
        <w:rPr>
          <w:rFonts w:asciiTheme="minorHAnsi" w:hAnsiTheme="minorHAnsi"/>
          <w:sz w:val="22"/>
          <w:szCs w:val="22"/>
        </w:rPr>
        <w:t>)</w:t>
      </w:r>
      <w:r w:rsidR="008267F6">
        <w:rPr>
          <w:rFonts w:asciiTheme="minorHAnsi" w:hAnsiTheme="minorHAnsi"/>
          <w:sz w:val="22"/>
          <w:szCs w:val="22"/>
        </w:rPr>
        <w:t xml:space="preserve"> are reported for each panel </w:t>
      </w:r>
      <w:r w:rsidR="001F74DB">
        <w:rPr>
          <w:rFonts w:asciiTheme="minorHAnsi" w:hAnsiTheme="minorHAnsi"/>
          <w:sz w:val="22"/>
          <w:szCs w:val="22"/>
        </w:rPr>
        <w:t xml:space="preserve">in </w:t>
      </w:r>
      <w:r w:rsidR="008267F6">
        <w:rPr>
          <w:rFonts w:asciiTheme="minorHAnsi" w:hAnsiTheme="minorHAnsi"/>
          <w:sz w:val="22"/>
          <w:szCs w:val="22"/>
        </w:rPr>
        <w:t>figur</w:t>
      </w:r>
      <w:r w:rsidR="001F74DB">
        <w:rPr>
          <w:rFonts w:asciiTheme="minorHAnsi" w:hAnsiTheme="minorHAnsi"/>
          <w:sz w:val="22"/>
          <w:szCs w:val="22"/>
        </w:rPr>
        <w:t>e</w:t>
      </w:r>
      <w:r w:rsidR="008267F6">
        <w:rPr>
          <w:rFonts w:asciiTheme="minorHAnsi" w:hAnsiTheme="minorHAnsi"/>
          <w:sz w:val="22"/>
          <w:szCs w:val="22"/>
        </w:rPr>
        <w:t xml:space="preserve"> legend</w:t>
      </w:r>
      <w:r w:rsidR="001F74DB">
        <w:rPr>
          <w:rFonts w:asciiTheme="minorHAnsi" w:hAnsiTheme="minorHAnsi"/>
          <w:sz w:val="22"/>
          <w:szCs w:val="22"/>
        </w:rPr>
        <w:t>s</w:t>
      </w:r>
      <w:r w:rsidR="00E73253">
        <w:rPr>
          <w:rFonts w:asciiTheme="minorHAnsi" w:hAnsiTheme="minorHAnsi"/>
          <w:sz w:val="22"/>
          <w:szCs w:val="22"/>
        </w:rPr>
        <w:t xml:space="preserve"> </w:t>
      </w:r>
      <w:r w:rsidR="00A23C36">
        <w:rPr>
          <w:rFonts w:asciiTheme="minorHAnsi" w:hAnsiTheme="minorHAnsi"/>
          <w:sz w:val="22"/>
          <w:szCs w:val="22"/>
        </w:rPr>
        <w:t xml:space="preserve">(and elaborated upon with the Results) </w:t>
      </w:r>
      <w:r w:rsidR="00E73253">
        <w:rPr>
          <w:rFonts w:asciiTheme="minorHAnsi" w:hAnsiTheme="minorHAnsi"/>
          <w:sz w:val="22"/>
          <w:szCs w:val="22"/>
        </w:rPr>
        <w:t>where applicable</w:t>
      </w:r>
      <w:r w:rsidR="008267F6">
        <w:rPr>
          <w:rFonts w:asciiTheme="minorHAnsi" w:hAnsiTheme="minorHAnsi"/>
          <w:sz w:val="22"/>
          <w:szCs w:val="22"/>
        </w:rPr>
        <w:t>.</w:t>
      </w:r>
    </w:p>
    <w:p w14:paraId="614D6089" w14:textId="096CA919" w:rsidR="0015519A" w:rsidRPr="00505C51" w:rsidRDefault="00E7325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3. </w:t>
      </w:r>
      <w:r w:rsidR="008267F6">
        <w:rPr>
          <w:rFonts w:asciiTheme="minorHAnsi" w:hAnsiTheme="minorHAnsi"/>
          <w:sz w:val="22"/>
          <w:szCs w:val="22"/>
        </w:rPr>
        <w:t>Exact p-values are reported when</w:t>
      </w:r>
      <w:r>
        <w:rPr>
          <w:rFonts w:asciiTheme="minorHAnsi" w:hAnsiTheme="minorHAnsi"/>
          <w:sz w:val="22"/>
          <w:szCs w:val="22"/>
        </w:rPr>
        <w:t xml:space="preserve"> </w:t>
      </w:r>
      <w:r w:rsidR="000B49E6">
        <w:rPr>
          <w:rFonts w:asciiTheme="minorHAnsi" w:hAnsiTheme="minorHAnsi"/>
          <w:sz w:val="22"/>
          <w:szCs w:val="22"/>
        </w:rPr>
        <w:t>biologically</w:t>
      </w:r>
      <w:r w:rsidR="00601505">
        <w:rPr>
          <w:rFonts w:asciiTheme="minorHAnsi" w:hAnsiTheme="minorHAnsi"/>
          <w:sz w:val="22"/>
          <w:szCs w:val="22"/>
        </w:rPr>
        <w:t xml:space="preserve"> </w:t>
      </w:r>
      <w:r w:rsidR="000B49E6">
        <w:rPr>
          <w:rFonts w:asciiTheme="minorHAnsi" w:hAnsiTheme="minorHAnsi"/>
          <w:sz w:val="22"/>
          <w:szCs w:val="22"/>
        </w:rPr>
        <w:t xml:space="preserve">important comparisons are shown </w:t>
      </w:r>
      <w:r w:rsidR="001F74DB">
        <w:rPr>
          <w:rFonts w:asciiTheme="minorHAnsi" w:hAnsiTheme="minorHAnsi"/>
          <w:sz w:val="22"/>
          <w:szCs w:val="22"/>
        </w:rPr>
        <w:t>within figure</w:t>
      </w:r>
      <w:r w:rsidR="00A23C36">
        <w:rPr>
          <w:rFonts w:asciiTheme="minorHAnsi" w:hAnsiTheme="minorHAnsi"/>
          <w:sz w:val="22"/>
          <w:szCs w:val="22"/>
        </w:rPr>
        <w:t xml:space="preserve"> panels</w:t>
      </w:r>
      <w:r w:rsidR="001F74DB">
        <w:rPr>
          <w:rFonts w:asciiTheme="minorHAnsi" w:hAnsiTheme="minorHAnsi"/>
          <w:sz w:val="22"/>
          <w:szCs w:val="22"/>
        </w:rPr>
        <w:t xml:space="preserve"> and </w:t>
      </w:r>
      <w:r w:rsidR="00A23C36">
        <w:rPr>
          <w:rFonts w:asciiTheme="minorHAnsi" w:hAnsiTheme="minorHAnsi"/>
          <w:sz w:val="22"/>
          <w:szCs w:val="22"/>
        </w:rPr>
        <w:t xml:space="preserve">the </w:t>
      </w:r>
      <w:r w:rsidR="001F74DB">
        <w:rPr>
          <w:rFonts w:asciiTheme="minorHAnsi" w:hAnsiTheme="minorHAnsi"/>
          <w:sz w:val="22"/>
          <w:szCs w:val="22"/>
        </w:rPr>
        <w:t>Results section of the manuscript</w:t>
      </w:r>
      <w:r w:rsidR="00A23C36">
        <w:rPr>
          <w:rFonts w:asciiTheme="minorHAnsi" w:hAnsiTheme="minorHAnsi"/>
          <w:sz w:val="22"/>
          <w:szCs w:val="22"/>
        </w:rPr>
        <w:t xml:space="preserve"> (See Figures</w:t>
      </w:r>
      <w:r w:rsidR="00842508">
        <w:rPr>
          <w:rFonts w:asciiTheme="minorHAnsi" w:hAnsiTheme="minorHAnsi"/>
          <w:sz w:val="22"/>
          <w:szCs w:val="22"/>
        </w:rPr>
        <w:t xml:space="preserve"> 6b</w:t>
      </w:r>
      <w:r w:rsidR="00353508">
        <w:rPr>
          <w:rFonts w:asciiTheme="minorHAnsi" w:hAnsiTheme="minorHAnsi"/>
          <w:sz w:val="22"/>
          <w:szCs w:val="22"/>
        </w:rPr>
        <w:t>, 7b</w:t>
      </w:r>
      <w:r w:rsidR="00842508">
        <w:rPr>
          <w:rFonts w:asciiTheme="minorHAnsi" w:hAnsiTheme="minorHAnsi"/>
          <w:sz w:val="22"/>
          <w:szCs w:val="22"/>
        </w:rPr>
        <w:t>, 9c and Figure 4-figure supplement 3</w:t>
      </w:r>
      <w:r w:rsidR="00353508">
        <w:rPr>
          <w:rFonts w:asciiTheme="minorHAnsi" w:hAnsiTheme="minorHAnsi"/>
          <w:sz w:val="22"/>
          <w:szCs w:val="22"/>
        </w:rPr>
        <w:t>a</w:t>
      </w:r>
      <w:r w:rsidR="00842508">
        <w:rPr>
          <w:rFonts w:asciiTheme="minorHAnsi" w:hAnsiTheme="minorHAnsi"/>
          <w:sz w:val="22"/>
          <w:szCs w:val="22"/>
        </w:rPr>
        <w:t xml:space="preserve">, Figure 6-figure supplement 5e, </w:t>
      </w:r>
      <w:r w:rsidR="00353508">
        <w:rPr>
          <w:rFonts w:asciiTheme="minorHAnsi" w:hAnsiTheme="minorHAnsi"/>
          <w:sz w:val="22"/>
          <w:szCs w:val="22"/>
        </w:rPr>
        <w:t>Figure 7-figure supplement 6c, Figure 7-figure supplement 7c</w:t>
      </w:r>
      <w:r w:rsidR="00A23C36">
        <w:rPr>
          <w:rFonts w:asciiTheme="minorHAnsi" w:hAnsiTheme="minorHAnsi"/>
          <w:sz w:val="22"/>
          <w:szCs w:val="22"/>
        </w:rPr>
        <w:t>).</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lastRenderedPageBreak/>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43F7C8BD" w14:textId="5BBCA966" w:rsidR="00944C3F" w:rsidRPr="00944C3F" w:rsidRDefault="00944C3F" w:rsidP="00944C3F">
      <w:pPr>
        <w:pStyle w:val="ListParagraph"/>
        <w:framePr w:w="7817" w:h="1088" w:hSpace="180" w:wrap="around" w:vAnchor="text" w:hAnchor="page" w:x="1904" w:y="636"/>
        <w:numPr>
          <w:ilvl w:val="0"/>
          <w:numId w:val="8"/>
        </w:numPr>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color w:val="000000"/>
          <w:sz w:val="22"/>
          <w:szCs w:val="22"/>
        </w:rPr>
      </w:pPr>
      <w:r w:rsidRPr="00944C3F">
        <w:rPr>
          <w:rFonts w:asciiTheme="minorHAnsi" w:eastAsia="Times New Roman" w:hAnsiTheme="minorHAnsi" w:cstheme="minorHAnsi"/>
          <w:color w:val="000000"/>
          <w:sz w:val="22"/>
          <w:szCs w:val="22"/>
        </w:rPr>
        <w:t>Indicate how samples were allocated into experimental groups:</w:t>
      </w:r>
    </w:p>
    <w:p w14:paraId="44D160BF" w14:textId="6DFAA779" w:rsidR="00944C3F" w:rsidRPr="00944C3F" w:rsidRDefault="00944C3F" w:rsidP="00944C3F">
      <w:pPr>
        <w:framePr w:w="7817" w:h="1088" w:hSpace="180" w:wrap="around" w:vAnchor="text" w:hAnchor="page" w:x="1904" w:y="636"/>
        <w:pBdr>
          <w:top w:val="single" w:sz="6" w:space="1" w:color="auto"/>
          <w:left w:val="single" w:sz="6" w:space="1" w:color="auto"/>
          <w:bottom w:val="single" w:sz="6" w:space="1" w:color="auto"/>
          <w:right w:val="single" w:sz="6" w:space="1" w:color="auto"/>
        </w:pBdr>
        <w:rPr>
          <w:rFonts w:asciiTheme="minorHAnsi" w:eastAsia="Times New Roman" w:hAnsiTheme="minorHAnsi" w:cstheme="minorHAnsi"/>
          <w:sz w:val="22"/>
          <w:szCs w:val="22"/>
        </w:rPr>
      </w:pPr>
      <w:r>
        <w:rPr>
          <w:rFonts w:asciiTheme="minorHAnsi" w:eastAsia="Times New Roman" w:hAnsiTheme="minorHAnsi" w:cstheme="minorHAnsi"/>
          <w:color w:val="000000"/>
          <w:sz w:val="22"/>
          <w:szCs w:val="22"/>
        </w:rPr>
        <w:t>Our study</w:t>
      </w:r>
      <w:r w:rsidRPr="00944C3F">
        <w:rPr>
          <w:rFonts w:asciiTheme="minorHAnsi" w:eastAsia="Times New Roman" w:hAnsiTheme="minorHAnsi" w:cstheme="minorHAnsi"/>
          <w:color w:val="000000"/>
          <w:sz w:val="22"/>
          <w:szCs w:val="22"/>
        </w:rPr>
        <w:t xml:space="preserve"> is a case control study that compares groups (disease or not), which are defined by electronic health records data, retrospectively. </w:t>
      </w:r>
    </w:p>
    <w:p w14:paraId="65582C6C" w14:textId="3811F024" w:rsidR="00944C3F" w:rsidRDefault="00944C3F" w:rsidP="00944C3F">
      <w:pPr>
        <w:framePr w:w="7817" w:h="1088" w:hSpace="180" w:wrap="around" w:vAnchor="text" w:hAnchor="page" w:x="1904" w:y="636"/>
        <w:pBdr>
          <w:top w:val="single" w:sz="6" w:space="1" w:color="auto"/>
          <w:left w:val="single" w:sz="6" w:space="1" w:color="auto"/>
          <w:bottom w:val="single" w:sz="6" w:space="1" w:color="auto"/>
          <w:right w:val="single" w:sz="6" w:space="1" w:color="auto"/>
        </w:pBdr>
        <w:rPr>
          <w:rFonts w:asciiTheme="minorHAnsi" w:hAnsiTheme="minorHAnsi" w:cstheme="minorHAnsi"/>
          <w:color w:val="000000"/>
          <w:sz w:val="22"/>
          <w:szCs w:val="22"/>
        </w:rPr>
      </w:pPr>
    </w:p>
    <w:p w14:paraId="0DA437FE" w14:textId="36562098" w:rsidR="00944C3F" w:rsidRPr="00944C3F" w:rsidRDefault="00944C3F" w:rsidP="00944C3F">
      <w:pPr>
        <w:pStyle w:val="ListParagraph"/>
        <w:framePr w:w="7817" w:h="1088" w:hSpace="180" w:wrap="around" w:vAnchor="text" w:hAnchor="page" w:x="1904" w:y="636"/>
        <w:numPr>
          <w:ilvl w:val="0"/>
          <w:numId w:val="8"/>
        </w:numPr>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Indicate if masking was used: Masking was not used.</w:t>
      </w: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2CB6DA35" w14:textId="4601E392" w:rsidR="00944C3F" w:rsidRPr="00944C3F" w:rsidRDefault="00944C3F" w:rsidP="00944C3F">
      <w:pPr>
        <w:pStyle w:val="ListParagraph"/>
        <w:framePr w:w="7817" w:h="1088" w:hSpace="180" w:wrap="around" w:vAnchor="text" w:hAnchor="page" w:x="1904" w:y="425"/>
        <w:numPr>
          <w:ilvl w:val="0"/>
          <w:numId w:val="9"/>
        </w:numPr>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cstheme="minorHAnsi"/>
          <w:color w:val="000000"/>
          <w:sz w:val="22"/>
          <w:szCs w:val="22"/>
        </w:rPr>
        <w:t xml:space="preserve">Relevant data files: </w:t>
      </w:r>
      <w:r w:rsidRPr="00944C3F">
        <w:rPr>
          <w:rFonts w:asciiTheme="minorHAnsi" w:hAnsiTheme="minorHAnsi" w:cstheme="minorHAnsi"/>
          <w:color w:val="000000"/>
          <w:sz w:val="22"/>
          <w:szCs w:val="22"/>
        </w:rPr>
        <w:t>We use publicly available GWAS data and electronic health records data (e.g., UK Biobank), which are public or available through an application process</w:t>
      </w:r>
      <w:r w:rsidR="00987994">
        <w:rPr>
          <w:rFonts w:asciiTheme="minorHAnsi" w:hAnsiTheme="minorHAnsi" w:cstheme="minorHAnsi"/>
          <w:color w:val="000000"/>
          <w:sz w:val="22"/>
          <w:szCs w:val="22"/>
        </w:rPr>
        <w:t>, and publicly available transcriptome/genotype data from the GTEx Consortium (v6p), which are available through the GTEx portal (</w:t>
      </w:r>
      <w:hyperlink r:id="rId13" w:history="1">
        <w:r w:rsidR="00987994" w:rsidRPr="006649B5">
          <w:rPr>
            <w:rStyle w:val="Hyperlink"/>
            <w:rFonts w:asciiTheme="minorHAnsi" w:hAnsiTheme="minorHAnsi" w:cstheme="minorHAnsi"/>
            <w:sz w:val="22"/>
            <w:szCs w:val="22"/>
          </w:rPr>
          <w:t>http://www.gtexportal.org</w:t>
        </w:r>
      </w:hyperlink>
      <w:r w:rsidR="00987994">
        <w:rPr>
          <w:rFonts w:asciiTheme="minorHAnsi" w:hAnsiTheme="minorHAnsi" w:cstheme="minorHAnsi"/>
          <w:color w:val="000000"/>
          <w:sz w:val="22"/>
          <w:szCs w:val="22"/>
        </w:rPr>
        <w:t>) and through dbGap (GTEx Consortium, Nature, 2017).</w:t>
      </w:r>
    </w:p>
    <w:p w14:paraId="61684300" w14:textId="51842DC2" w:rsidR="00944C3F" w:rsidRPr="00944C3F" w:rsidRDefault="00944C3F" w:rsidP="00944C3F">
      <w:pPr>
        <w:pStyle w:val="ListParagraph"/>
        <w:framePr w:w="7817" w:h="1088" w:hSpace="180" w:wrap="around" w:vAnchor="text" w:hAnchor="page" w:x="1904" w:y="425"/>
        <w:numPr>
          <w:ilvl w:val="0"/>
          <w:numId w:val="9"/>
        </w:numPr>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Pr>
          <w:rFonts w:asciiTheme="minorHAnsi" w:hAnsiTheme="minorHAnsi" w:cstheme="minorHAnsi"/>
          <w:color w:val="000000"/>
          <w:sz w:val="22"/>
          <w:szCs w:val="22"/>
        </w:rPr>
        <w:t xml:space="preserve">Include model definition files : These </w:t>
      </w:r>
      <w:r w:rsidR="00987994">
        <w:rPr>
          <w:rFonts w:asciiTheme="minorHAnsi" w:hAnsiTheme="minorHAnsi" w:cstheme="minorHAnsi"/>
          <w:color w:val="000000"/>
          <w:sz w:val="22"/>
          <w:szCs w:val="22"/>
        </w:rPr>
        <w:t xml:space="preserve">are described </w:t>
      </w:r>
      <w:r>
        <w:rPr>
          <w:rFonts w:asciiTheme="minorHAnsi" w:hAnsiTheme="minorHAnsi" w:cstheme="minorHAnsi"/>
          <w:color w:val="000000"/>
          <w:sz w:val="22"/>
          <w:szCs w:val="22"/>
        </w:rPr>
        <w:t xml:space="preserve">in (Gamazon et al., </w:t>
      </w:r>
      <w:r w:rsidR="00D24261">
        <w:rPr>
          <w:rFonts w:asciiTheme="minorHAnsi" w:hAnsiTheme="minorHAnsi" w:cstheme="minorHAnsi"/>
          <w:i/>
          <w:color w:val="000000"/>
          <w:sz w:val="22"/>
          <w:szCs w:val="22"/>
        </w:rPr>
        <w:t xml:space="preserve">Nature Genetics </w:t>
      </w:r>
      <w:r w:rsidR="00D24261">
        <w:rPr>
          <w:rFonts w:asciiTheme="minorHAnsi" w:hAnsiTheme="minorHAnsi" w:cstheme="minorHAnsi"/>
          <w:color w:val="000000"/>
          <w:sz w:val="22"/>
          <w:szCs w:val="22"/>
        </w:rPr>
        <w:t>47:1091 (2015)</w:t>
      </w:r>
      <w:r>
        <w:rPr>
          <w:rFonts w:asciiTheme="minorHAnsi" w:hAnsiTheme="minorHAnsi" w:cstheme="minorHAnsi"/>
          <w:i/>
          <w:color w:val="000000"/>
          <w:sz w:val="22"/>
          <w:szCs w:val="22"/>
        </w:rPr>
        <w:t xml:space="preserve"> </w:t>
      </w:r>
      <w:r>
        <w:rPr>
          <w:rFonts w:asciiTheme="minorHAnsi" w:hAnsiTheme="minorHAnsi" w:cstheme="minorHAnsi"/>
          <w:color w:val="000000"/>
          <w:sz w:val="22"/>
          <w:szCs w:val="22"/>
        </w:rPr>
        <w:t>)</w:t>
      </w:r>
      <w:r w:rsidR="00987994">
        <w:rPr>
          <w:rFonts w:asciiTheme="minorHAnsi" w:hAnsiTheme="minorHAnsi" w:cstheme="minorHAnsi"/>
          <w:color w:val="000000"/>
          <w:sz w:val="22"/>
          <w:szCs w:val="22"/>
        </w:rPr>
        <w:t xml:space="preserve">. </w:t>
      </w:r>
    </w:p>
    <w:p w14:paraId="305A531E" w14:textId="77777777" w:rsidR="00944C3F" w:rsidRPr="00944C3F" w:rsidRDefault="00944C3F" w:rsidP="00944C3F">
      <w:pPr>
        <w:pStyle w:val="ListParagraph"/>
        <w:framePr w:w="7817" w:h="1088" w:hSpace="180" w:wrap="around" w:vAnchor="text" w:hAnchor="page" w:x="1904" w:y="425"/>
        <w:pBdr>
          <w:top w:val="single" w:sz="6" w:space="1" w:color="auto"/>
          <w:left w:val="single" w:sz="6" w:space="1" w:color="auto"/>
          <w:bottom w:val="single" w:sz="6" w:space="1" w:color="auto"/>
          <w:right w:val="single" w:sz="6" w:space="1" w:color="auto"/>
        </w:pBdr>
        <w:ind w:left="0"/>
        <w:rPr>
          <w:rFonts w:asciiTheme="minorHAnsi" w:hAnsiTheme="minorHAnsi" w:cstheme="minorHAnsi"/>
          <w:sz w:val="22"/>
          <w:szCs w:val="22"/>
        </w:rPr>
      </w:pPr>
    </w:p>
    <w:p w14:paraId="0BCDEEDD" w14:textId="6451F263" w:rsidR="00944C3F" w:rsidRPr="00A928CE" w:rsidRDefault="00944C3F" w:rsidP="00944C3F">
      <w:pPr>
        <w:pStyle w:val="ListParagraph"/>
        <w:framePr w:w="7817" w:h="1088" w:hSpace="180" w:wrap="around" w:vAnchor="text" w:hAnchor="page" w:x="1904" w:y="425"/>
        <w:numPr>
          <w:ilvl w:val="0"/>
          <w:numId w:val="9"/>
        </w:numPr>
        <w:pBdr>
          <w:top w:val="single" w:sz="6" w:space="1" w:color="auto"/>
          <w:left w:val="single" w:sz="6" w:space="1" w:color="auto"/>
          <w:bottom w:val="single" w:sz="6" w:space="1" w:color="auto"/>
          <w:right w:val="single" w:sz="6" w:space="1" w:color="auto"/>
        </w:pBdr>
        <w:rPr>
          <w:rStyle w:val="Hyperlink"/>
          <w:rFonts w:asciiTheme="minorHAnsi" w:hAnsiTheme="minorHAnsi" w:cstheme="minorHAnsi"/>
          <w:color w:val="auto"/>
          <w:sz w:val="22"/>
          <w:szCs w:val="22"/>
          <w:u w:val="none"/>
        </w:rPr>
      </w:pPr>
      <w:r w:rsidRPr="00944C3F">
        <w:rPr>
          <w:rFonts w:asciiTheme="minorHAnsi" w:hAnsiTheme="minorHAnsi" w:cstheme="minorHAnsi"/>
          <w:color w:val="000000"/>
          <w:sz w:val="22"/>
          <w:szCs w:val="22"/>
        </w:rPr>
        <w:t>Code for the following analyses is publicly available:</w:t>
      </w:r>
      <w:r w:rsidRPr="00944C3F">
        <w:rPr>
          <w:rStyle w:val="apple-converted-space"/>
          <w:rFonts w:asciiTheme="minorHAnsi" w:hAnsiTheme="minorHAnsi" w:cstheme="minorHAnsi"/>
          <w:color w:val="000000"/>
          <w:sz w:val="22"/>
          <w:szCs w:val="22"/>
        </w:rPr>
        <w:t> </w:t>
      </w:r>
      <w:r w:rsidRPr="00944C3F">
        <w:rPr>
          <w:rFonts w:asciiTheme="minorHAnsi" w:hAnsiTheme="minorHAnsi" w:cstheme="minorHAnsi"/>
          <w:color w:val="000000"/>
          <w:sz w:val="22"/>
          <w:szCs w:val="22"/>
        </w:rPr>
        <w:br/>
      </w:r>
      <w:r w:rsidRPr="00944C3F">
        <w:rPr>
          <w:rFonts w:asciiTheme="minorHAnsi" w:hAnsiTheme="minorHAnsi" w:cstheme="minorHAnsi"/>
          <w:color w:val="000000"/>
          <w:sz w:val="22"/>
          <w:szCs w:val="22"/>
        </w:rPr>
        <w:br/>
        <w:t>PrediXcan:</w:t>
      </w:r>
      <w:r w:rsidRPr="00944C3F">
        <w:rPr>
          <w:rStyle w:val="apple-converted-space"/>
          <w:rFonts w:asciiTheme="minorHAnsi" w:hAnsiTheme="minorHAnsi" w:cstheme="minorHAnsi"/>
          <w:color w:val="000000"/>
          <w:sz w:val="22"/>
          <w:szCs w:val="22"/>
        </w:rPr>
        <w:t> </w:t>
      </w:r>
      <w:hyperlink w:tgtFrame="_blank" w:history="1">
        <w:r w:rsidRPr="00944C3F">
          <w:rPr>
            <w:rStyle w:val="Hyperlink"/>
            <w:rFonts w:asciiTheme="minorHAnsi" w:hAnsiTheme="minorHAnsi" w:cstheme="minorHAnsi"/>
            <w:sz w:val="22"/>
            <w:szCs w:val="22"/>
          </w:rPr>
          <w:t>https://github.com/hakyimlab/PrediXcan</w:t>
        </w:r>
      </w:hyperlink>
      <w:r w:rsidRPr="00944C3F">
        <w:rPr>
          <w:rFonts w:asciiTheme="minorHAnsi" w:hAnsiTheme="minorHAnsi" w:cstheme="minorHAnsi"/>
          <w:color w:val="000000"/>
          <w:sz w:val="22"/>
          <w:szCs w:val="22"/>
        </w:rPr>
        <w:br/>
        <w:t>S-PrediXcan:</w:t>
      </w:r>
      <w:r w:rsidRPr="00944C3F">
        <w:rPr>
          <w:rStyle w:val="apple-converted-space"/>
          <w:rFonts w:asciiTheme="minorHAnsi" w:hAnsiTheme="minorHAnsi" w:cstheme="minorHAnsi"/>
          <w:color w:val="000000"/>
          <w:sz w:val="22"/>
          <w:szCs w:val="22"/>
        </w:rPr>
        <w:t> </w:t>
      </w:r>
      <w:hyperlink w:tgtFrame="_blank" w:history="1">
        <w:r w:rsidRPr="00944C3F">
          <w:rPr>
            <w:rStyle w:val="Hyperlink"/>
            <w:rFonts w:asciiTheme="minorHAnsi" w:hAnsiTheme="minorHAnsi" w:cstheme="minorHAnsi"/>
            <w:sz w:val="22"/>
            <w:szCs w:val="22"/>
          </w:rPr>
          <w:t>https://github.com/hakyimlab/MetaXcan</w:t>
        </w:r>
      </w:hyperlink>
      <w:r w:rsidRPr="00944C3F">
        <w:rPr>
          <w:rFonts w:asciiTheme="minorHAnsi" w:hAnsiTheme="minorHAnsi" w:cstheme="minorHAnsi"/>
          <w:color w:val="000000"/>
          <w:sz w:val="22"/>
          <w:szCs w:val="22"/>
        </w:rPr>
        <w:br/>
      </w:r>
    </w:p>
    <w:p w14:paraId="41E5E158" w14:textId="443A7601" w:rsidR="00007D7D" w:rsidRPr="00E61D60" w:rsidRDefault="00007D7D" w:rsidP="00E61D60">
      <w:pPr>
        <w:pStyle w:val="ListParagraph"/>
        <w:framePr w:w="7817" w:h="1088" w:hSpace="180" w:wrap="around" w:vAnchor="text" w:hAnchor="page" w:x="1904" w:y="425"/>
        <w:numPr>
          <w:ilvl w:val="0"/>
          <w:numId w:val="9"/>
        </w:numPr>
        <w:pBdr>
          <w:top w:val="single" w:sz="6" w:space="1" w:color="auto"/>
          <w:left w:val="single" w:sz="6" w:space="1" w:color="auto"/>
          <w:bottom w:val="single" w:sz="6" w:space="1" w:color="auto"/>
          <w:right w:val="single" w:sz="6" w:space="1" w:color="auto"/>
        </w:pBdr>
        <w:rPr>
          <w:rFonts w:asciiTheme="minorHAnsi" w:hAnsiTheme="minorHAnsi" w:cstheme="minorHAnsi"/>
          <w:sz w:val="22"/>
          <w:szCs w:val="22"/>
        </w:rPr>
      </w:pPr>
      <w:r w:rsidRPr="00E61D60">
        <w:rPr>
          <w:rFonts w:asciiTheme="minorHAnsi" w:hAnsiTheme="minorHAnsi" w:cstheme="minorHAnsi"/>
          <w:sz w:val="22"/>
          <w:szCs w:val="22"/>
        </w:rPr>
        <w:t>We have provided this information in the Data Availability section of the Methods.</w:t>
      </w:r>
    </w:p>
    <w:p w14:paraId="76514EE0" w14:textId="77777777" w:rsidR="00944C3F" w:rsidRPr="00505C51" w:rsidRDefault="00944C3F" w:rsidP="00E61D60">
      <w:pPr>
        <w:framePr w:w="7817" w:h="1088" w:hSpace="180" w:wrap="around" w:vAnchor="text" w:hAnchor="page" w:x="1904" w:y="425"/>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4"/>
      <w:footerReference w:type="even" r:id="rId15"/>
      <w:footerReference w:type="default" r:id="rId16"/>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42B6BE" w14:textId="77777777" w:rsidR="00D374F4" w:rsidRDefault="00D374F4" w:rsidP="004215FE">
      <w:r>
        <w:separator/>
      </w:r>
    </w:p>
  </w:endnote>
  <w:endnote w:type="continuationSeparator" w:id="0">
    <w:p w14:paraId="621382E0" w14:textId="77777777" w:rsidR="00D374F4" w:rsidRDefault="00D374F4"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2B71DF" w:rsidRDefault="002B71DF"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2B71DF" w:rsidRDefault="002B71DF"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2B71DF" w:rsidRDefault="002B71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5AF6B2F3" w:rsidR="002B71DF" w:rsidRPr="0009520A" w:rsidRDefault="002B71DF"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166CBD">
      <w:rPr>
        <w:rStyle w:val="PageNumber"/>
        <w:rFonts w:asciiTheme="minorHAnsi" w:hAnsiTheme="minorHAnsi"/>
        <w:noProof/>
        <w:sz w:val="20"/>
        <w:szCs w:val="20"/>
      </w:rPr>
      <w:t>3</w:t>
    </w:r>
    <w:r w:rsidRPr="0009520A">
      <w:rPr>
        <w:rStyle w:val="PageNumber"/>
        <w:rFonts w:asciiTheme="minorHAnsi" w:hAnsiTheme="minorHAnsi"/>
        <w:sz w:val="20"/>
        <w:szCs w:val="20"/>
      </w:rPr>
      <w:fldChar w:fldCharType="end"/>
    </w:r>
  </w:p>
  <w:p w14:paraId="43DA2918" w14:textId="77777777" w:rsidR="002B71DF" w:rsidRPr="00062DBF" w:rsidRDefault="002B71DF"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593F74" w14:textId="77777777" w:rsidR="00D374F4" w:rsidRDefault="00D374F4" w:rsidP="004215FE">
      <w:r>
        <w:separator/>
      </w:r>
    </w:p>
  </w:footnote>
  <w:footnote w:type="continuationSeparator" w:id="0">
    <w:p w14:paraId="157DE5D1" w14:textId="77777777" w:rsidR="00D374F4" w:rsidRDefault="00D374F4"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2B71DF" w:rsidRDefault="002B71DF"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9C395D"/>
    <w:multiLevelType w:val="hybridMultilevel"/>
    <w:tmpl w:val="756C1104"/>
    <w:lvl w:ilvl="0" w:tplc="4A26EB96">
      <w:start w:val="1"/>
      <w:numFmt w:val="decimal"/>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FBA0A3C"/>
    <w:multiLevelType w:val="hybridMultilevel"/>
    <w:tmpl w:val="D2A824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0"/>
  </w:num>
  <w:num w:numId="4">
    <w:abstractNumId w:val="1"/>
  </w:num>
  <w:num w:numId="5">
    <w:abstractNumId w:val="7"/>
  </w:num>
  <w:num w:numId="6">
    <w:abstractNumId w:val="2"/>
  </w:num>
  <w:num w:numId="7">
    <w:abstractNumId w:val="5"/>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trackRevisions/>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07D7D"/>
    <w:rsid w:val="000204ED"/>
    <w:rsid w:val="00022DC0"/>
    <w:rsid w:val="00062DBF"/>
    <w:rsid w:val="00083FE8"/>
    <w:rsid w:val="00086AD8"/>
    <w:rsid w:val="0009444E"/>
    <w:rsid w:val="0009520A"/>
    <w:rsid w:val="000A32A6"/>
    <w:rsid w:val="000A38BC"/>
    <w:rsid w:val="000A7992"/>
    <w:rsid w:val="000B2AEA"/>
    <w:rsid w:val="000B49E6"/>
    <w:rsid w:val="000B6ED9"/>
    <w:rsid w:val="000C1AD1"/>
    <w:rsid w:val="000C4C4F"/>
    <w:rsid w:val="000C69D7"/>
    <w:rsid w:val="000C773F"/>
    <w:rsid w:val="000D14EE"/>
    <w:rsid w:val="000D62F9"/>
    <w:rsid w:val="000D681A"/>
    <w:rsid w:val="000F64EE"/>
    <w:rsid w:val="00100F97"/>
    <w:rsid w:val="001019CD"/>
    <w:rsid w:val="00125190"/>
    <w:rsid w:val="00133662"/>
    <w:rsid w:val="00133907"/>
    <w:rsid w:val="00146DE9"/>
    <w:rsid w:val="0015519A"/>
    <w:rsid w:val="00160221"/>
    <w:rsid w:val="001618D5"/>
    <w:rsid w:val="00166CBD"/>
    <w:rsid w:val="00175192"/>
    <w:rsid w:val="001E1D59"/>
    <w:rsid w:val="001F74DB"/>
    <w:rsid w:val="00200C91"/>
    <w:rsid w:val="00212F30"/>
    <w:rsid w:val="00217B9E"/>
    <w:rsid w:val="002336C6"/>
    <w:rsid w:val="00241081"/>
    <w:rsid w:val="00266462"/>
    <w:rsid w:val="002A068D"/>
    <w:rsid w:val="002A0ED1"/>
    <w:rsid w:val="002A7487"/>
    <w:rsid w:val="002B71DF"/>
    <w:rsid w:val="002F49B4"/>
    <w:rsid w:val="00307F5D"/>
    <w:rsid w:val="003248ED"/>
    <w:rsid w:val="0035149C"/>
    <w:rsid w:val="00353508"/>
    <w:rsid w:val="00370080"/>
    <w:rsid w:val="003B3388"/>
    <w:rsid w:val="003F19A6"/>
    <w:rsid w:val="003F5747"/>
    <w:rsid w:val="00402ADD"/>
    <w:rsid w:val="00406FF4"/>
    <w:rsid w:val="0041682E"/>
    <w:rsid w:val="004215FE"/>
    <w:rsid w:val="004242DB"/>
    <w:rsid w:val="00426FD0"/>
    <w:rsid w:val="00435F00"/>
    <w:rsid w:val="00441726"/>
    <w:rsid w:val="004505C5"/>
    <w:rsid w:val="00451B01"/>
    <w:rsid w:val="00455849"/>
    <w:rsid w:val="00471732"/>
    <w:rsid w:val="004A5C32"/>
    <w:rsid w:val="004B41D4"/>
    <w:rsid w:val="004D5E59"/>
    <w:rsid w:val="004D602A"/>
    <w:rsid w:val="004D73CF"/>
    <w:rsid w:val="004E4945"/>
    <w:rsid w:val="004F451D"/>
    <w:rsid w:val="00501A7E"/>
    <w:rsid w:val="00505C51"/>
    <w:rsid w:val="00516A01"/>
    <w:rsid w:val="00524E24"/>
    <w:rsid w:val="0053000A"/>
    <w:rsid w:val="00550F13"/>
    <w:rsid w:val="005530AE"/>
    <w:rsid w:val="00555929"/>
    <w:rsid w:val="00555F44"/>
    <w:rsid w:val="00566103"/>
    <w:rsid w:val="00594D53"/>
    <w:rsid w:val="005B0A15"/>
    <w:rsid w:val="005B0AB6"/>
    <w:rsid w:val="00601505"/>
    <w:rsid w:val="00605A12"/>
    <w:rsid w:val="00634AC7"/>
    <w:rsid w:val="0064049B"/>
    <w:rsid w:val="00657587"/>
    <w:rsid w:val="00661DCC"/>
    <w:rsid w:val="00672545"/>
    <w:rsid w:val="00685CCF"/>
    <w:rsid w:val="006A632B"/>
    <w:rsid w:val="006C06F5"/>
    <w:rsid w:val="006C7BC3"/>
    <w:rsid w:val="006E4A6C"/>
    <w:rsid w:val="006E6B2A"/>
    <w:rsid w:val="006F4F21"/>
    <w:rsid w:val="00700103"/>
    <w:rsid w:val="007137E1"/>
    <w:rsid w:val="0075542C"/>
    <w:rsid w:val="00762B36"/>
    <w:rsid w:val="00763BA5"/>
    <w:rsid w:val="0076524F"/>
    <w:rsid w:val="00767B26"/>
    <w:rsid w:val="007765ED"/>
    <w:rsid w:val="00795CED"/>
    <w:rsid w:val="007B6567"/>
    <w:rsid w:val="007B6D8A"/>
    <w:rsid w:val="007B7AF0"/>
    <w:rsid w:val="007C1A97"/>
    <w:rsid w:val="007D18C3"/>
    <w:rsid w:val="007E54D8"/>
    <w:rsid w:val="007E5880"/>
    <w:rsid w:val="00800860"/>
    <w:rsid w:val="008071DA"/>
    <w:rsid w:val="0082410E"/>
    <w:rsid w:val="008267F6"/>
    <w:rsid w:val="00842508"/>
    <w:rsid w:val="008531D3"/>
    <w:rsid w:val="00860995"/>
    <w:rsid w:val="00865914"/>
    <w:rsid w:val="008669DA"/>
    <w:rsid w:val="0087056D"/>
    <w:rsid w:val="008711A8"/>
    <w:rsid w:val="008766E3"/>
    <w:rsid w:val="00876F8F"/>
    <w:rsid w:val="00877644"/>
    <w:rsid w:val="00877729"/>
    <w:rsid w:val="008A22A7"/>
    <w:rsid w:val="008C73C0"/>
    <w:rsid w:val="008D5B31"/>
    <w:rsid w:val="008D7885"/>
    <w:rsid w:val="009044D6"/>
    <w:rsid w:val="00912B0B"/>
    <w:rsid w:val="009205E9"/>
    <w:rsid w:val="0092438C"/>
    <w:rsid w:val="00941D04"/>
    <w:rsid w:val="00944C3F"/>
    <w:rsid w:val="00963CEF"/>
    <w:rsid w:val="00987994"/>
    <w:rsid w:val="00993065"/>
    <w:rsid w:val="009A0661"/>
    <w:rsid w:val="009C7309"/>
    <w:rsid w:val="009D0D28"/>
    <w:rsid w:val="009E6ACE"/>
    <w:rsid w:val="009E7B13"/>
    <w:rsid w:val="00A11EC6"/>
    <w:rsid w:val="00A131BD"/>
    <w:rsid w:val="00A23C36"/>
    <w:rsid w:val="00A32E20"/>
    <w:rsid w:val="00A5368C"/>
    <w:rsid w:val="00A62B52"/>
    <w:rsid w:val="00A84B3E"/>
    <w:rsid w:val="00A928CE"/>
    <w:rsid w:val="00AB5612"/>
    <w:rsid w:val="00AC49AA"/>
    <w:rsid w:val="00AD7A8F"/>
    <w:rsid w:val="00AE7C75"/>
    <w:rsid w:val="00AF5736"/>
    <w:rsid w:val="00B05CC5"/>
    <w:rsid w:val="00B124CC"/>
    <w:rsid w:val="00B17836"/>
    <w:rsid w:val="00B24C80"/>
    <w:rsid w:val="00B25462"/>
    <w:rsid w:val="00B330BD"/>
    <w:rsid w:val="00B4292F"/>
    <w:rsid w:val="00B57E8A"/>
    <w:rsid w:val="00B64119"/>
    <w:rsid w:val="00B92439"/>
    <w:rsid w:val="00B94C5D"/>
    <w:rsid w:val="00BA4D1B"/>
    <w:rsid w:val="00BA5BB7"/>
    <w:rsid w:val="00BB00D0"/>
    <w:rsid w:val="00BB55EC"/>
    <w:rsid w:val="00BC1C94"/>
    <w:rsid w:val="00BC3CCE"/>
    <w:rsid w:val="00BD527E"/>
    <w:rsid w:val="00C10FE0"/>
    <w:rsid w:val="00C1184B"/>
    <w:rsid w:val="00C21D14"/>
    <w:rsid w:val="00C24CF7"/>
    <w:rsid w:val="00C377C0"/>
    <w:rsid w:val="00C42ECB"/>
    <w:rsid w:val="00C52A77"/>
    <w:rsid w:val="00C622A0"/>
    <w:rsid w:val="00C820B0"/>
    <w:rsid w:val="00CC6EF3"/>
    <w:rsid w:val="00CD6AEC"/>
    <w:rsid w:val="00CE6849"/>
    <w:rsid w:val="00CF008D"/>
    <w:rsid w:val="00CF4BBE"/>
    <w:rsid w:val="00CF6CB5"/>
    <w:rsid w:val="00D10224"/>
    <w:rsid w:val="00D24261"/>
    <w:rsid w:val="00D374F4"/>
    <w:rsid w:val="00D44612"/>
    <w:rsid w:val="00D50299"/>
    <w:rsid w:val="00D74320"/>
    <w:rsid w:val="00D779BF"/>
    <w:rsid w:val="00D83D45"/>
    <w:rsid w:val="00D93937"/>
    <w:rsid w:val="00DE207A"/>
    <w:rsid w:val="00DE2719"/>
    <w:rsid w:val="00DF1913"/>
    <w:rsid w:val="00E007B4"/>
    <w:rsid w:val="00E03D56"/>
    <w:rsid w:val="00E234CA"/>
    <w:rsid w:val="00E41364"/>
    <w:rsid w:val="00E61AB4"/>
    <w:rsid w:val="00E61D60"/>
    <w:rsid w:val="00E70517"/>
    <w:rsid w:val="00E73253"/>
    <w:rsid w:val="00E830FE"/>
    <w:rsid w:val="00E870D1"/>
    <w:rsid w:val="00EC7A5D"/>
    <w:rsid w:val="00ED346E"/>
    <w:rsid w:val="00ED7A21"/>
    <w:rsid w:val="00EF7423"/>
    <w:rsid w:val="00F16369"/>
    <w:rsid w:val="00F27DEC"/>
    <w:rsid w:val="00F3344F"/>
    <w:rsid w:val="00F431B8"/>
    <w:rsid w:val="00F46889"/>
    <w:rsid w:val="00F60CF4"/>
    <w:rsid w:val="00FC1F40"/>
    <w:rsid w:val="00FC26B4"/>
    <w:rsid w:val="00FD0F2C"/>
    <w:rsid w:val="00FD4CB4"/>
    <w:rsid w:val="00FE362B"/>
    <w:rsid w:val="00FE48C0"/>
    <w:rsid w:val="00FE4F10"/>
    <w:rsid w:val="00FF0BC5"/>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39AB7D6B-DE64-B64C-9145-C4DBF903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customStyle="1" w:styleId="apple-converted-space">
    <w:name w:val="apple-converted-space"/>
    <w:basedOn w:val="DefaultParagraphFont"/>
    <w:rsid w:val="00944C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18286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776317820">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www.gtexportal.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texportal.or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4C3639-5420-E344-AA4C-EFAEBB397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1276</Words>
  <Characters>7276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8535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Microsoft Office User</cp:lastModifiedBy>
  <cp:revision>2</cp:revision>
  <dcterms:created xsi:type="dcterms:W3CDTF">2018-08-14T22:01:00Z</dcterms:created>
  <dcterms:modified xsi:type="dcterms:W3CDTF">2018-08-14T22:01:00Z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http://csl.mendeley.com/styles/483888331/pnas-2</vt:lpwstr>
  </property>
  <property fmtid="{D5CDD505-2E9C-101B-9397-08002B2CF9AE}" pid="19" name="Mendeley Recent Style Name 8_1">
    <vt:lpwstr>Proceedings of the National Academy of Sciences of the United States of America - Christi Salisbury-Ruf</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