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>We encourage authors to provide detailed in</w:t>
      </w:r>
      <w:bookmarkStart w:id="0" w:name="_GoBack"/>
      <w:bookmarkEnd w:id="0"/>
      <w:r w:rsidRPr="00505C51">
        <w:rPr>
          <w:rFonts w:asciiTheme="minorHAnsi" w:hAnsiTheme="minorHAnsi"/>
          <w:bCs/>
          <w:sz w:val="22"/>
          <w:szCs w:val="22"/>
        </w:rPr>
        <w:t xml:space="preserve">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BC1050E" w14:textId="7DC78801" w:rsidR="003518E5" w:rsidRPr="003518E5" w:rsidRDefault="00F93B68" w:rsidP="003518E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/>
        </w:rPr>
      </w:pPr>
      <w:r w:rsidRPr="003518E5">
        <w:rPr>
          <w:rFonts w:asciiTheme="minorHAnsi" w:hAnsiTheme="minorHAnsi"/>
        </w:rPr>
        <w:t>Sample sizes were not computed</w:t>
      </w:r>
      <w:r w:rsidR="003518E5">
        <w:rPr>
          <w:rFonts w:asciiTheme="minorHAnsi" w:hAnsiTheme="minorHAnsi"/>
        </w:rPr>
        <w:t xml:space="preserve"> for the study design</w:t>
      </w:r>
      <w:r w:rsidRPr="003518E5">
        <w:rPr>
          <w:rFonts w:asciiTheme="minorHAnsi" w:hAnsiTheme="minorHAnsi"/>
        </w:rPr>
        <w:t xml:space="preserve">. </w:t>
      </w:r>
      <w:r w:rsidR="003518E5">
        <w:rPr>
          <w:rFonts w:asciiTheme="minorHAnsi" w:hAnsiTheme="minorHAnsi"/>
        </w:rPr>
        <w:t xml:space="preserve"> However, f</w:t>
      </w:r>
      <w:r w:rsidRPr="003518E5">
        <w:rPr>
          <w:rFonts w:asciiTheme="minorHAnsi" w:hAnsiTheme="minorHAnsi"/>
        </w:rPr>
        <w:t xml:space="preserve">or studies with liver fluke infection of hamsters, </w:t>
      </w:r>
      <w:r w:rsidR="00031FAD">
        <w:rPr>
          <w:rFonts w:asciiTheme="minorHAnsi" w:hAnsiTheme="minorHAnsi"/>
        </w:rPr>
        <w:t xml:space="preserve">10 </w:t>
      </w:r>
      <w:r w:rsidRPr="003518E5">
        <w:rPr>
          <w:rFonts w:asciiTheme="minorHAnsi" w:hAnsiTheme="minorHAnsi"/>
        </w:rPr>
        <w:t>hamsters were included in each treatment group</w:t>
      </w:r>
      <w:r w:rsidR="00031FAD">
        <w:rPr>
          <w:rFonts w:asciiTheme="minorHAnsi" w:hAnsiTheme="minorHAnsi"/>
        </w:rPr>
        <w:t>, of five were euthanized at each of two time points, i.e. at 14 days and at 60 days after infection</w:t>
      </w:r>
      <w:r w:rsidRPr="003518E5">
        <w:rPr>
          <w:rFonts w:asciiTheme="minorHAnsi" w:hAnsiTheme="minorHAnsi"/>
        </w:rPr>
        <w:t xml:space="preserve">. </w:t>
      </w:r>
      <w:r w:rsidR="00C93731" w:rsidRPr="003518E5">
        <w:rPr>
          <w:rFonts w:asciiTheme="minorHAnsi" w:hAnsiTheme="minorHAnsi"/>
        </w:rPr>
        <w:t xml:space="preserve"> </w:t>
      </w:r>
      <w:r w:rsidR="003518E5">
        <w:rPr>
          <w:rFonts w:asciiTheme="minorHAnsi" w:hAnsiTheme="minorHAnsi"/>
        </w:rPr>
        <w:t xml:space="preserve">The pathophysiological changes in each hamster were investigated, including in stained thin-sections of the liver from each </w:t>
      </w:r>
      <w:r w:rsidR="00977A63">
        <w:rPr>
          <w:rFonts w:asciiTheme="minorHAnsi" w:hAnsiTheme="minorHAnsi"/>
        </w:rPr>
        <w:t xml:space="preserve">hamster in each group. </w:t>
      </w:r>
      <w:r w:rsidR="00031FAD">
        <w:rPr>
          <w:rFonts w:asciiTheme="minorHAnsi" w:hAnsiTheme="minorHAnsi"/>
        </w:rPr>
        <w:t xml:space="preserve">We consider that this sample </w:t>
      </w:r>
      <w:r w:rsidR="00C93731" w:rsidRPr="003518E5">
        <w:rPr>
          <w:rFonts w:asciiTheme="minorHAnsi" w:hAnsiTheme="minorHAnsi"/>
        </w:rPr>
        <w:t xml:space="preserve">size </w:t>
      </w:r>
      <w:r w:rsidR="00031FAD">
        <w:rPr>
          <w:rFonts w:asciiTheme="minorHAnsi" w:hAnsiTheme="minorHAnsi"/>
        </w:rPr>
        <w:t xml:space="preserve">was appropriate given that this number </w:t>
      </w:r>
      <w:r w:rsidR="00C93731" w:rsidRPr="003518E5">
        <w:rPr>
          <w:rFonts w:asciiTheme="minorHAnsi" w:hAnsiTheme="minorHAnsi"/>
        </w:rPr>
        <w:t>has been used in o</w:t>
      </w:r>
      <w:r w:rsidR="003518E5">
        <w:rPr>
          <w:rFonts w:asciiTheme="minorHAnsi" w:hAnsiTheme="minorHAnsi"/>
        </w:rPr>
        <w:t>t</w:t>
      </w:r>
      <w:r w:rsidR="00C93731" w:rsidRPr="003518E5">
        <w:rPr>
          <w:rFonts w:asciiTheme="minorHAnsi" w:hAnsiTheme="minorHAnsi"/>
        </w:rPr>
        <w:t xml:space="preserve">her published reports for </w:t>
      </w:r>
      <w:r w:rsidR="00977A63">
        <w:rPr>
          <w:rFonts w:asciiTheme="minorHAnsi" w:hAnsiTheme="minorHAnsi"/>
        </w:rPr>
        <w:t>experimental</w:t>
      </w:r>
      <w:r w:rsidR="003518E5">
        <w:rPr>
          <w:rFonts w:asciiTheme="minorHAnsi" w:hAnsiTheme="minorHAnsi"/>
        </w:rPr>
        <w:t xml:space="preserve"> </w:t>
      </w:r>
      <w:r w:rsidR="00031FAD">
        <w:rPr>
          <w:rFonts w:asciiTheme="minorHAnsi" w:hAnsiTheme="minorHAnsi"/>
        </w:rPr>
        <w:t xml:space="preserve">studies on </w:t>
      </w:r>
      <w:r w:rsidR="002C70FC">
        <w:rPr>
          <w:rFonts w:asciiTheme="minorHAnsi" w:hAnsiTheme="minorHAnsi"/>
        </w:rPr>
        <w:t xml:space="preserve">pathophysiology of </w:t>
      </w:r>
      <w:r w:rsidR="00C93731" w:rsidRPr="003518E5">
        <w:rPr>
          <w:rFonts w:asciiTheme="minorHAnsi" w:hAnsiTheme="minorHAnsi"/>
        </w:rPr>
        <w:t>liver fluke infection</w:t>
      </w:r>
      <w:r w:rsidR="003518E5">
        <w:rPr>
          <w:rFonts w:asciiTheme="minorHAnsi" w:hAnsiTheme="minorHAnsi"/>
        </w:rPr>
        <w:t>s of hamster</w:t>
      </w:r>
      <w:r w:rsidR="002C70FC">
        <w:rPr>
          <w:rFonts w:asciiTheme="minorHAnsi" w:hAnsiTheme="minorHAnsi"/>
        </w:rPr>
        <w:t>s</w:t>
      </w:r>
      <w:r w:rsidR="00C93731" w:rsidRPr="003518E5">
        <w:rPr>
          <w:rFonts w:asciiTheme="minorHAnsi" w:hAnsiTheme="minorHAnsi"/>
        </w:rPr>
        <w:t xml:space="preserve">, e.g. Gouveia </w:t>
      </w:r>
      <w:r w:rsidR="002C70FC">
        <w:rPr>
          <w:rFonts w:asciiTheme="minorHAnsi" w:hAnsiTheme="minorHAnsi"/>
        </w:rPr>
        <w:t xml:space="preserve">MJ </w:t>
      </w:r>
      <w:r w:rsidR="00C93731" w:rsidRPr="003518E5">
        <w:rPr>
          <w:rFonts w:asciiTheme="minorHAnsi" w:hAnsiTheme="minorHAnsi"/>
        </w:rPr>
        <w:t xml:space="preserve">et al 2017 </w:t>
      </w:r>
      <w:r w:rsidR="00C93731" w:rsidRPr="003518E5">
        <w:rPr>
          <w:rFonts w:asciiTheme="minorHAnsi" w:hAnsiTheme="minorHAnsi"/>
          <w:i/>
        </w:rPr>
        <w:t xml:space="preserve">Carcinogenesis </w:t>
      </w:r>
      <w:r w:rsidR="003518E5">
        <w:rPr>
          <w:rFonts w:asciiTheme="minorHAnsi" w:eastAsia="Times New Roman" w:hAnsiTheme="minorHAnsi" w:cs="Arial"/>
          <w:color w:val="000000"/>
          <w:shd w:val="clear" w:color="auto" w:fill="FFFFFF"/>
        </w:rPr>
        <w:t xml:space="preserve">38(9), </w:t>
      </w:r>
      <w:r w:rsidR="003518E5" w:rsidRPr="003518E5">
        <w:rPr>
          <w:rFonts w:asciiTheme="minorHAnsi" w:eastAsia="Times New Roman" w:hAnsiTheme="minorHAnsi" w:cs="Arial"/>
          <w:color w:val="000000"/>
          <w:shd w:val="clear" w:color="auto" w:fill="FFFFFF"/>
        </w:rPr>
        <w:t xml:space="preserve">929-937. </w:t>
      </w:r>
      <w:proofErr w:type="gramStart"/>
      <w:r w:rsidR="003518E5" w:rsidRPr="003518E5">
        <w:rPr>
          <w:rFonts w:asciiTheme="minorHAnsi" w:eastAsia="Times New Roman" w:hAnsiTheme="minorHAnsi" w:cs="Arial"/>
          <w:color w:val="000000"/>
          <w:shd w:val="clear" w:color="auto" w:fill="FFFFFF"/>
        </w:rPr>
        <w:t>doi</w:t>
      </w:r>
      <w:proofErr w:type="gramEnd"/>
      <w:r w:rsidR="003518E5" w:rsidRPr="003518E5">
        <w:rPr>
          <w:rFonts w:asciiTheme="minorHAnsi" w:eastAsia="Times New Roman" w:hAnsiTheme="minorHAnsi" w:cs="Arial"/>
          <w:color w:val="000000"/>
          <w:shd w:val="clear" w:color="auto" w:fill="FFFFFF"/>
        </w:rPr>
        <w:t>: 10.1093/carcin/bgx042.</w:t>
      </w:r>
    </w:p>
    <w:p w14:paraId="283305D7" w14:textId="5BFC4176" w:rsidR="00877644" w:rsidRPr="00125190" w:rsidRDefault="00877644" w:rsidP="00C9373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4886555" w14:textId="0B5582AA" w:rsidR="002C530E" w:rsidRDefault="00050FFA" w:rsidP="00663BC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djustRightInd w:val="0"/>
        <w:snapToGrid w:val="0"/>
        <w:spacing w:before="240" w:after="120"/>
        <w:rPr>
          <w:rFonts w:asciiTheme="minorHAnsi" w:hAnsiTheme="minorHAnsi"/>
        </w:rPr>
      </w:pPr>
      <w:r w:rsidRPr="00663BC1">
        <w:rPr>
          <w:rFonts w:asciiTheme="minorHAnsi" w:hAnsiTheme="minorHAnsi"/>
        </w:rPr>
        <w:lastRenderedPageBreak/>
        <w:t xml:space="preserve">Three </w:t>
      </w:r>
      <w:r w:rsidR="002E2D74">
        <w:rPr>
          <w:rFonts w:asciiTheme="minorHAnsi" w:hAnsiTheme="minorHAnsi"/>
        </w:rPr>
        <w:t xml:space="preserve">or more </w:t>
      </w:r>
      <w:r w:rsidRPr="00663BC1">
        <w:rPr>
          <w:rFonts w:asciiTheme="minorHAnsi" w:hAnsiTheme="minorHAnsi"/>
        </w:rPr>
        <w:t xml:space="preserve">biological replicates of each experiment were performed. </w:t>
      </w:r>
      <w:r w:rsidR="008B19E8" w:rsidRPr="00663BC1">
        <w:rPr>
          <w:rFonts w:asciiTheme="minorHAnsi" w:hAnsiTheme="minorHAnsi"/>
        </w:rPr>
        <w:t>We included a de</w:t>
      </w:r>
      <w:r w:rsidR="008B19E8">
        <w:rPr>
          <w:rFonts w:asciiTheme="minorHAnsi" w:hAnsiTheme="minorHAnsi"/>
        </w:rPr>
        <w:t>fi</w:t>
      </w:r>
      <w:r w:rsidR="008B19E8" w:rsidRPr="00663BC1">
        <w:rPr>
          <w:rFonts w:asciiTheme="minorHAnsi" w:hAnsiTheme="minorHAnsi"/>
        </w:rPr>
        <w:t>nition of biological versus technical replicates in the Materials &amp; Methods section, as follows: ‘</w:t>
      </w:r>
      <w:proofErr w:type="gramStart"/>
      <w:r w:rsidR="008B19E8" w:rsidRPr="00663BC1">
        <w:rPr>
          <w:rFonts w:asciiTheme="minorHAnsi" w:hAnsiTheme="minorHAnsi"/>
        </w:rPr>
        <w:t>These</w:t>
      </w:r>
      <w:proofErr w:type="gramEnd"/>
      <w:r w:rsidR="008B19E8" w:rsidRPr="00663BC1">
        <w:rPr>
          <w:rFonts w:asciiTheme="minorHAnsi" w:hAnsiTheme="minorHAnsi"/>
        </w:rPr>
        <w:t xml:space="preserve"> biological replicates represented parallel measurements of biologically discrete samples in order to capture any random biological variation. </w:t>
      </w:r>
      <w:r w:rsidR="00663BC1" w:rsidRPr="00663BC1">
        <w:rPr>
          <w:rFonts w:asciiTheme="minorHAnsi" w:hAnsiTheme="minorHAnsi"/>
        </w:rPr>
        <w:t xml:space="preserve">Technical replicates were undertaken as well; these represented repeated measurements of the same sample undertaken as independent measurements of the random noise associated with the investigator, equipment or protocol’. </w:t>
      </w:r>
    </w:p>
    <w:p w14:paraId="328588E1" w14:textId="7406B047" w:rsidR="002C530E" w:rsidRPr="002C530E" w:rsidRDefault="002C530E" w:rsidP="00663BC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djustRightInd w:val="0"/>
        <w:snapToGrid w:val="0"/>
        <w:spacing w:before="240" w:after="120"/>
        <w:rPr>
          <w:rFonts w:asciiTheme="minorHAnsi" w:hAnsiTheme="minorHAnsi"/>
        </w:rPr>
      </w:pPr>
      <w:r w:rsidRPr="002C530E">
        <w:rPr>
          <w:rFonts w:asciiTheme="minorHAnsi" w:hAnsiTheme="minorHAnsi"/>
        </w:rPr>
        <w:t xml:space="preserve">High throughput sequence data are available as indicated in the Results section at NCBI, National </w:t>
      </w:r>
      <w:r w:rsidR="008B19E8" w:rsidRPr="002C530E">
        <w:rPr>
          <w:rFonts w:asciiTheme="minorHAnsi" w:hAnsiTheme="minorHAnsi"/>
        </w:rPr>
        <w:t>Library</w:t>
      </w:r>
      <w:r w:rsidRPr="002C530E">
        <w:rPr>
          <w:rFonts w:asciiTheme="minorHAnsi" w:hAnsiTheme="minorHAnsi"/>
        </w:rPr>
        <w:t xml:space="preserve"> of Medicine: </w:t>
      </w:r>
    </w:p>
    <w:p w14:paraId="2FA472BA" w14:textId="47E0E858" w:rsidR="002C530E" w:rsidRPr="002C530E" w:rsidRDefault="002C530E" w:rsidP="00663BC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djustRightInd w:val="0"/>
        <w:snapToGrid w:val="0"/>
        <w:spacing w:before="240" w:after="120"/>
        <w:rPr>
          <w:rFonts w:asciiTheme="minorHAnsi" w:hAnsiTheme="minorHAnsi"/>
        </w:rPr>
      </w:pPr>
      <w:r w:rsidRPr="002C530E">
        <w:rPr>
          <w:rFonts w:asciiTheme="minorHAnsi" w:hAnsiTheme="minorHAnsi"/>
        </w:rPr>
        <w:t>‘…</w:t>
      </w:r>
      <w:proofErr w:type="gramStart"/>
      <w:r w:rsidRPr="002C530E">
        <w:rPr>
          <w:rFonts w:asciiTheme="minorHAnsi" w:hAnsiTheme="minorHAnsi"/>
          <w:color w:val="000000" w:themeColor="text1"/>
        </w:rPr>
        <w:t>sequence</w:t>
      </w:r>
      <w:proofErr w:type="gramEnd"/>
      <w:r w:rsidRPr="002C530E">
        <w:rPr>
          <w:rFonts w:asciiTheme="minorHAnsi" w:hAnsiTheme="minorHAnsi"/>
          <w:color w:val="000000" w:themeColor="text1"/>
        </w:rPr>
        <w:t xml:space="preserve"> reads are available at GenBank Bioproject </w:t>
      </w:r>
      <w:r w:rsidRPr="002C530E">
        <w:rPr>
          <w:rFonts w:asciiTheme="minorHAnsi" w:eastAsia="Times New Roman" w:hAnsiTheme="minorHAnsi"/>
          <w:color w:val="000000" w:themeColor="text1"/>
          <w:shd w:val="clear" w:color="auto" w:fill="FFFFFF"/>
        </w:rPr>
        <w:t xml:space="preserve">PRJNA385864, </w:t>
      </w:r>
      <w:r w:rsidRPr="002C530E">
        <w:rPr>
          <w:rFonts w:asciiTheme="minorHAnsi" w:hAnsiTheme="minorHAnsi"/>
          <w:color w:val="000000" w:themeColor="text1"/>
        </w:rPr>
        <w:t xml:space="preserve">Biosample </w:t>
      </w:r>
      <w:r w:rsidRPr="002C530E">
        <w:rPr>
          <w:rFonts w:asciiTheme="minorHAnsi" w:eastAsia="Times New Roman" w:hAnsiTheme="minorHAnsi"/>
          <w:color w:val="000000" w:themeColor="text1"/>
          <w:shd w:val="clear" w:color="auto" w:fill="FFFFFF"/>
        </w:rPr>
        <w:t>SAMN07287348, SRA study SRP110673</w:t>
      </w:r>
      <w:r w:rsidRPr="002C530E">
        <w:rPr>
          <w:rFonts w:asciiTheme="minorHAnsi" w:eastAsia="Times New Roman" w:hAnsiTheme="minorHAnsi"/>
          <w:color w:val="000000" w:themeColor="text1"/>
        </w:rPr>
        <w:t xml:space="preserve">, </w:t>
      </w:r>
      <w:r w:rsidRPr="002C530E">
        <w:rPr>
          <w:rFonts w:asciiTheme="minorHAnsi" w:hAnsiTheme="minorHAnsi"/>
          <w:color w:val="000000" w:themeColor="text1"/>
        </w:rPr>
        <w:t xml:space="preserve">accessions </w:t>
      </w:r>
      <w:r w:rsidRPr="002C530E">
        <w:rPr>
          <w:rFonts w:asciiTheme="minorHAnsi" w:eastAsia="Times New Roman" w:hAnsiTheme="minorHAnsi"/>
          <w:color w:val="000000" w:themeColor="text1"/>
          <w:shd w:val="clear" w:color="auto" w:fill="FFFFFF"/>
        </w:rPr>
        <w:t xml:space="preserve">SRR5764463-5764618 and SRR8187484-SRR8187487, at </w:t>
      </w:r>
      <w:hyperlink r:id="rId10" w:history="1">
        <w:r w:rsidRPr="002C530E">
          <w:rPr>
            <w:rStyle w:val="Hyperlink"/>
            <w:rFonts w:asciiTheme="minorHAnsi" w:eastAsia="Arial" w:hAnsiTheme="minorHAnsi"/>
            <w:color w:val="000000" w:themeColor="text1"/>
          </w:rPr>
          <w:t>https://www.ncbi.nlm.nih.gov/Traces/study/?acc=SRP110673</w:t>
        </w:r>
      </w:hyperlink>
      <w:r w:rsidRPr="002C530E">
        <w:rPr>
          <w:rFonts w:asciiTheme="minorHAnsi" w:hAnsiTheme="minorHAnsi"/>
          <w:color w:val="000000" w:themeColor="text1"/>
        </w:rPr>
        <w:t xml:space="preserve">, Bioproject, </w:t>
      </w:r>
      <w:hyperlink r:id="rId11" w:history="1">
        <w:r w:rsidRPr="002C530E">
          <w:rPr>
            <w:rStyle w:val="Hyperlink"/>
            <w:rFonts w:asciiTheme="minorHAnsi" w:eastAsia="Arial" w:hAnsiTheme="minorHAnsi"/>
            <w:color w:val="000000" w:themeColor="text1"/>
          </w:rPr>
          <w:t>www.ncbi.nlm.nih.gov/bioproject/PRJNA385864</w:t>
        </w:r>
      </w:hyperlink>
      <w:r w:rsidRPr="002C530E">
        <w:rPr>
          <w:rStyle w:val="Hyperlink"/>
          <w:rFonts w:asciiTheme="minorHAnsi" w:eastAsia="Arial" w:hAnsiTheme="minorHAnsi"/>
          <w:color w:val="000000" w:themeColor="text1"/>
        </w:rPr>
        <w:t xml:space="preserve"> ‘.</w:t>
      </w:r>
    </w:p>
    <w:p w14:paraId="78102952" w14:textId="76E61DDF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35E8DA4" w:rsidR="0015519A" w:rsidRPr="00150AFA" w:rsidRDefault="0070399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150AFA">
        <w:rPr>
          <w:rFonts w:asciiTheme="minorHAnsi" w:hAnsiTheme="minorHAnsi"/>
          <w:sz w:val="22"/>
          <w:szCs w:val="22"/>
        </w:rPr>
        <w:t xml:space="preserve">These details have been provided in the Results, including in figure </w:t>
      </w:r>
      <w:r w:rsidR="008B19E8" w:rsidRPr="00150AFA">
        <w:rPr>
          <w:rFonts w:asciiTheme="minorHAnsi" w:hAnsiTheme="minorHAnsi"/>
          <w:sz w:val="22"/>
          <w:szCs w:val="22"/>
        </w:rPr>
        <w:t>legends</w:t>
      </w:r>
      <w:r w:rsidRPr="00150AFA">
        <w:rPr>
          <w:rFonts w:asciiTheme="minorHAnsi" w:hAnsiTheme="minorHAnsi"/>
          <w:sz w:val="22"/>
          <w:szCs w:val="22"/>
        </w:rPr>
        <w:t xml:space="preserve">, for example, Figure 3 </w:t>
      </w:r>
      <w:r w:rsidR="008B19E8" w:rsidRPr="00150AFA">
        <w:rPr>
          <w:rFonts w:asciiTheme="minorHAnsi" w:hAnsiTheme="minorHAnsi"/>
          <w:sz w:val="22"/>
          <w:szCs w:val="22"/>
        </w:rPr>
        <w:t>legend</w:t>
      </w:r>
      <w:r w:rsidRPr="00150AFA">
        <w:rPr>
          <w:rFonts w:asciiTheme="minorHAnsi" w:hAnsiTheme="minorHAnsi"/>
          <w:sz w:val="22"/>
          <w:szCs w:val="22"/>
        </w:rPr>
        <w:t>, ‘</w:t>
      </w:r>
      <w:r w:rsidRPr="00150AFA">
        <w:rPr>
          <w:rFonts w:asciiTheme="minorHAnsi" w:hAnsiTheme="minorHAnsi"/>
          <w:color w:val="000000" w:themeColor="text1"/>
          <w:sz w:val="22"/>
          <w:szCs w:val="22"/>
        </w:rPr>
        <w:t xml:space="preserve">Epithelium width/hyperplasia (green bracket) was quantified using ImageJ and plotted as the mean </w:t>
      </w:r>
      <w:r w:rsidRPr="00150AFA">
        <w:rPr>
          <w:rFonts w:asciiTheme="minorHAnsi" w:eastAsia="MS Gothic" w:hAnsiTheme="minorHAnsi"/>
          <w:color w:val="000000" w:themeColor="text1"/>
          <w:sz w:val="22"/>
          <w:szCs w:val="22"/>
        </w:rPr>
        <w:t xml:space="preserve">± </w:t>
      </w:r>
      <w:r w:rsidRPr="00150AFA">
        <w:rPr>
          <w:rFonts w:asciiTheme="minorHAnsi" w:hAnsiTheme="minorHAnsi"/>
          <w:color w:val="000000" w:themeColor="text1"/>
          <w:sz w:val="22"/>
          <w:szCs w:val="22"/>
        </w:rPr>
        <w:t xml:space="preserve">SD of five biological replicates (hamsters) </w:t>
      </w:r>
      <w:r w:rsidRPr="00150AFA">
        <w:rPr>
          <w:rFonts w:asciiTheme="minorHAnsi" w:hAnsiTheme="minorHAnsi"/>
          <w:color w:val="000000" w:themeColor="text1"/>
          <w:sz w:val="22"/>
          <w:szCs w:val="22"/>
          <w:lang w:eastAsia="zh-CN"/>
        </w:rPr>
        <w:t>from each of group and time point</w:t>
      </w:r>
      <w:r w:rsidRPr="00150AFA">
        <w:rPr>
          <w:rFonts w:asciiTheme="minorHAnsi" w:hAnsiTheme="minorHAnsi"/>
          <w:color w:val="000000" w:themeColor="text1"/>
          <w:sz w:val="22"/>
          <w:szCs w:val="22"/>
        </w:rPr>
        <w:t xml:space="preserve"> (14 and 60 days). Significant differences were apparent when compared to the uninfected group using the two-way ANOVA </w:t>
      </w:r>
      <w:r w:rsidRPr="00150AFA">
        <w:rPr>
          <w:rFonts w:asciiTheme="minorHAnsi" w:hAnsiTheme="minorHAnsi"/>
          <w:iCs/>
          <w:color w:val="000000" w:themeColor="text1"/>
          <w:sz w:val="22"/>
          <w:szCs w:val="22"/>
        </w:rPr>
        <w:t>with Holm-Sidak multiple comparison</w:t>
      </w:r>
      <w:r w:rsidRPr="00150AFA">
        <w:rPr>
          <w:rFonts w:asciiTheme="minorHAnsi" w:hAnsiTheme="minorHAnsi"/>
          <w:color w:val="000000" w:themeColor="text1"/>
          <w:sz w:val="22"/>
          <w:szCs w:val="22"/>
        </w:rPr>
        <w:t xml:space="preserve"> test: **</w:t>
      </w:r>
      <w:r w:rsidRPr="00150AFA">
        <w:rPr>
          <w:rFonts w:asciiTheme="minorHAnsi" w:hAnsiTheme="minorHAnsi"/>
          <w:i/>
          <w:color w:val="000000" w:themeColor="text1"/>
          <w:sz w:val="22"/>
          <w:szCs w:val="22"/>
        </w:rPr>
        <w:t>P</w:t>
      </w:r>
      <w:r w:rsidRPr="00150AF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150AFA">
        <w:rPr>
          <w:rFonts w:asciiTheme="minorHAnsi" w:eastAsia="MS Gothic" w:hAnsiTheme="minorHAnsi"/>
          <w:color w:val="000000" w:themeColor="text1"/>
          <w:sz w:val="22"/>
          <w:szCs w:val="22"/>
        </w:rPr>
        <w:t>≤</w:t>
      </w:r>
      <w:r w:rsidRPr="00150AFA">
        <w:rPr>
          <w:rFonts w:asciiTheme="minorHAnsi" w:hAnsiTheme="minorHAnsi"/>
          <w:color w:val="000000" w:themeColor="text1"/>
          <w:sz w:val="22"/>
          <w:szCs w:val="22"/>
        </w:rPr>
        <w:t xml:space="preserve"> 0.01 and ****</w:t>
      </w:r>
      <w:r w:rsidRPr="00150AFA">
        <w:rPr>
          <w:rFonts w:asciiTheme="minorHAnsi" w:hAnsiTheme="minorHAnsi"/>
          <w:i/>
          <w:color w:val="000000" w:themeColor="text1"/>
          <w:sz w:val="22"/>
          <w:szCs w:val="22"/>
        </w:rPr>
        <w:t>P</w:t>
      </w:r>
      <w:r w:rsidRPr="00150AF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150AFA">
        <w:rPr>
          <w:rFonts w:asciiTheme="minorHAnsi" w:eastAsia="MS Gothic" w:hAnsiTheme="minorHAnsi"/>
          <w:color w:val="000000" w:themeColor="text1"/>
          <w:sz w:val="22"/>
          <w:szCs w:val="22"/>
        </w:rPr>
        <w:t>≤</w:t>
      </w:r>
      <w:r w:rsidRPr="00150AFA">
        <w:rPr>
          <w:rFonts w:asciiTheme="minorHAnsi" w:hAnsiTheme="minorHAnsi"/>
          <w:color w:val="000000" w:themeColor="text1"/>
          <w:sz w:val="22"/>
          <w:szCs w:val="22"/>
        </w:rPr>
        <w:t xml:space="preserve"> 0.0001, and </w:t>
      </w:r>
      <w:proofErr w:type="gramStart"/>
      <w:r w:rsidRPr="00150AFA">
        <w:rPr>
          <w:rFonts w:asciiTheme="minorHAnsi" w:hAnsiTheme="minorHAnsi"/>
          <w:color w:val="000000" w:themeColor="text1"/>
          <w:sz w:val="22"/>
          <w:szCs w:val="22"/>
        </w:rPr>
        <w:t>wild-type</w:t>
      </w:r>
      <w:proofErr w:type="gramEnd"/>
      <w:r w:rsidRPr="00150AFA">
        <w:rPr>
          <w:rFonts w:asciiTheme="minorHAnsi" w:hAnsiTheme="minorHAnsi"/>
          <w:color w:val="000000" w:themeColor="text1"/>
          <w:sz w:val="22"/>
          <w:szCs w:val="22"/>
        </w:rPr>
        <w:t xml:space="preserve"> compared to </w:t>
      </w:r>
      <w:r w:rsidRPr="00150AFA">
        <w:rPr>
          <w:rFonts w:asciiTheme="minorHAnsi" w:hAnsiTheme="minorHAnsi"/>
          <w:color w:val="000000" w:themeColor="text1"/>
          <w:sz w:val="22"/>
          <w:szCs w:val="22"/>
          <w:lang w:val="el-GR"/>
        </w:rPr>
        <w:t>Δ</w:t>
      </w:r>
      <w:r w:rsidRPr="00150AFA">
        <w:rPr>
          <w:rFonts w:asciiTheme="minorHAnsi" w:hAnsiTheme="minorHAnsi"/>
          <w:i/>
          <w:iCs/>
          <w:color w:val="000000" w:themeColor="text1"/>
          <w:sz w:val="22"/>
          <w:szCs w:val="22"/>
        </w:rPr>
        <w:t>Ov-grn-1</w:t>
      </w:r>
      <w:r w:rsidRPr="00150AFA">
        <w:rPr>
          <w:rFonts w:asciiTheme="minorHAnsi" w:hAnsiTheme="minorHAnsi"/>
          <w:iCs/>
          <w:color w:val="000000" w:themeColor="text1"/>
          <w:sz w:val="22"/>
          <w:szCs w:val="22"/>
        </w:rPr>
        <w:t>,</w:t>
      </w:r>
      <w:r w:rsidRPr="00150AFA">
        <w:rPr>
          <w:rFonts w:asciiTheme="minorHAnsi" w:hAnsiTheme="minorHAnsi"/>
          <w:i/>
          <w:iCs/>
          <w:color w:val="000000" w:themeColor="text1"/>
          <w:sz w:val="22"/>
          <w:szCs w:val="22"/>
        </w:rPr>
        <w:t xml:space="preserve"> </w:t>
      </w:r>
      <w:r w:rsidRPr="00150AFA">
        <w:rPr>
          <w:rFonts w:asciiTheme="minorHAnsi" w:hAnsiTheme="minorHAnsi"/>
          <w:iCs/>
          <w:color w:val="000000" w:themeColor="text1"/>
          <w:sz w:val="22"/>
          <w:szCs w:val="22"/>
        </w:rPr>
        <w:t>#</w:t>
      </w:r>
      <w:r w:rsidRPr="00150AFA">
        <w:rPr>
          <w:rFonts w:asciiTheme="minorHAnsi" w:hAnsiTheme="minorHAnsi"/>
          <w:i/>
          <w:color w:val="000000" w:themeColor="text1"/>
          <w:sz w:val="22"/>
          <w:szCs w:val="22"/>
        </w:rPr>
        <w:t xml:space="preserve">P </w:t>
      </w:r>
      <w:r w:rsidRPr="00150AFA">
        <w:rPr>
          <w:rFonts w:asciiTheme="minorHAnsi" w:eastAsia="MS Gothic" w:hAnsiTheme="minorHAnsi"/>
          <w:color w:val="000000" w:themeColor="text1"/>
          <w:sz w:val="22"/>
          <w:szCs w:val="22"/>
        </w:rPr>
        <w:t>≤</w:t>
      </w:r>
      <w:r w:rsidRPr="00150AFA">
        <w:rPr>
          <w:rFonts w:asciiTheme="minorHAnsi" w:hAnsiTheme="minorHAnsi"/>
          <w:color w:val="000000" w:themeColor="text1"/>
          <w:sz w:val="22"/>
          <w:szCs w:val="22"/>
        </w:rPr>
        <w:t xml:space="preserve"> 0.05 and ####</w:t>
      </w:r>
      <w:r w:rsidRPr="00150AFA">
        <w:rPr>
          <w:rFonts w:asciiTheme="minorHAnsi" w:hAnsiTheme="minorHAnsi"/>
          <w:i/>
          <w:color w:val="000000" w:themeColor="text1"/>
          <w:sz w:val="22"/>
          <w:szCs w:val="22"/>
        </w:rPr>
        <w:t xml:space="preserve">P </w:t>
      </w:r>
      <w:r w:rsidRPr="00150AFA">
        <w:rPr>
          <w:rFonts w:asciiTheme="minorHAnsi" w:eastAsia="MS Gothic" w:hAnsiTheme="minorHAnsi"/>
          <w:color w:val="000000" w:themeColor="text1"/>
          <w:sz w:val="22"/>
          <w:szCs w:val="22"/>
        </w:rPr>
        <w:t>≤</w:t>
      </w:r>
      <w:r w:rsidRPr="00150AFA">
        <w:rPr>
          <w:rFonts w:asciiTheme="minorHAnsi" w:hAnsiTheme="minorHAnsi"/>
          <w:color w:val="000000" w:themeColor="text1"/>
          <w:sz w:val="22"/>
          <w:szCs w:val="22"/>
        </w:rPr>
        <w:t xml:space="preserve"> 0.0001’</w:t>
      </w:r>
      <w:r w:rsidR="008F70FD" w:rsidRPr="00150AFA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61788C5E" w14:textId="77777777" w:rsidR="008F70FD" w:rsidRPr="00150AFA" w:rsidRDefault="008F70F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</w:p>
    <w:p w14:paraId="6EA57883" w14:textId="7C0A59A0" w:rsidR="008F70FD" w:rsidRPr="00150AFA" w:rsidRDefault="008F70F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  <w:r w:rsidRPr="00150AFA">
        <w:rPr>
          <w:rFonts w:asciiTheme="minorHAnsi" w:hAnsiTheme="minorHAnsi"/>
          <w:color w:val="000000" w:themeColor="text1"/>
          <w:sz w:val="22"/>
          <w:szCs w:val="22"/>
        </w:rPr>
        <w:t>Raw data are provided in Figure 5, which deals with levels of transcripts in each of 25 individual adult worms derived from gene edited larval flukes.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017214E" w:rsidR="00BC3CCE" w:rsidRDefault="009078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Allocation of samples: </w:t>
      </w:r>
      <w:r w:rsidR="001E70CA">
        <w:rPr>
          <w:rFonts w:asciiTheme="minorHAnsi" w:hAnsiTheme="minorHAnsi"/>
          <w:sz w:val="22"/>
          <w:szCs w:val="22"/>
        </w:rPr>
        <w:t>Following purchase of the laboratory rodents from the vendor, the hamsters were assigned at random to the three treatment groups, 1) control; 2) infection with wild type liver flukes; and 3) infection with gene-edited liver flukes.</w:t>
      </w:r>
    </w:p>
    <w:p w14:paraId="77D19A11" w14:textId="77777777" w:rsidR="009078FE" w:rsidRDefault="009078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7F81388" w14:textId="77777777" w:rsidR="009078FE" w:rsidRDefault="009078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F10862C" w14:textId="77777777" w:rsidR="009078FE" w:rsidRPr="00505C51" w:rsidRDefault="009078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C74B7DB" w:rsidR="00BC3CCE" w:rsidRPr="00505C51" w:rsidRDefault="00150AF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2E2D74" w:rsidRDefault="002E2D74" w:rsidP="004215FE">
      <w:r>
        <w:separator/>
      </w:r>
    </w:p>
  </w:endnote>
  <w:endnote w:type="continuationSeparator" w:id="0">
    <w:p w14:paraId="65BC2F8D" w14:textId="77777777" w:rsidR="002E2D74" w:rsidRDefault="002E2D7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E2D74" w:rsidRDefault="002E2D7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E2D74" w:rsidRDefault="002E2D7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E2D74" w:rsidRDefault="002E2D7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E2D74" w:rsidRPr="0009520A" w:rsidRDefault="002E2D7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B19E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E2D74" w:rsidRPr="00062DBF" w:rsidRDefault="002E2D7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gramStart"/>
    <w:r w:rsidRPr="00062DBF">
      <w:rPr>
        <w:rFonts w:ascii="Arial" w:hAnsi="Arial"/>
        <w:sz w:val="16"/>
        <w:szCs w:val="16"/>
      </w:rPr>
      <w:t>eLife</w:t>
    </w:r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2E2D74" w:rsidRDefault="002E2D74" w:rsidP="004215FE">
      <w:r>
        <w:separator/>
      </w:r>
    </w:p>
  </w:footnote>
  <w:footnote w:type="continuationSeparator" w:id="0">
    <w:p w14:paraId="7F6ABFA4" w14:textId="77777777" w:rsidR="002E2D74" w:rsidRDefault="002E2D7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E2D74" w:rsidRDefault="002E2D74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1FAD"/>
    <w:rsid w:val="00050FF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0AFA"/>
    <w:rsid w:val="0015519A"/>
    <w:rsid w:val="001618D5"/>
    <w:rsid w:val="00175192"/>
    <w:rsid w:val="001E1D59"/>
    <w:rsid w:val="001E70CA"/>
    <w:rsid w:val="00212F30"/>
    <w:rsid w:val="00217B9E"/>
    <w:rsid w:val="002336C6"/>
    <w:rsid w:val="00241081"/>
    <w:rsid w:val="00266462"/>
    <w:rsid w:val="002A068D"/>
    <w:rsid w:val="002A0ED1"/>
    <w:rsid w:val="002A7487"/>
    <w:rsid w:val="002C530E"/>
    <w:rsid w:val="002C70FC"/>
    <w:rsid w:val="002E2D74"/>
    <w:rsid w:val="00307F5D"/>
    <w:rsid w:val="003248ED"/>
    <w:rsid w:val="003518E5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3BC1"/>
    <w:rsid w:val="00672545"/>
    <w:rsid w:val="00685CCF"/>
    <w:rsid w:val="006A632B"/>
    <w:rsid w:val="006C06F5"/>
    <w:rsid w:val="006C7BC3"/>
    <w:rsid w:val="006E4A6C"/>
    <w:rsid w:val="006E6B2A"/>
    <w:rsid w:val="00700103"/>
    <w:rsid w:val="0070399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19E8"/>
    <w:rsid w:val="008C73C0"/>
    <w:rsid w:val="008D7885"/>
    <w:rsid w:val="008F70FD"/>
    <w:rsid w:val="009078FE"/>
    <w:rsid w:val="00912B0B"/>
    <w:rsid w:val="009205E9"/>
    <w:rsid w:val="0092438C"/>
    <w:rsid w:val="00941D04"/>
    <w:rsid w:val="00963CEF"/>
    <w:rsid w:val="00977A63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0167"/>
    <w:rsid w:val="00BB55EC"/>
    <w:rsid w:val="00BC3CCE"/>
    <w:rsid w:val="00BD7EBB"/>
    <w:rsid w:val="00C1184B"/>
    <w:rsid w:val="00C21D14"/>
    <w:rsid w:val="00C24CF7"/>
    <w:rsid w:val="00C42ECB"/>
    <w:rsid w:val="00C52A77"/>
    <w:rsid w:val="00C820B0"/>
    <w:rsid w:val="00C93731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3B6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ncbi.nlm.nih.gov/bioproject/PRJNA385864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s://www.ncbi.nlm.nih.gov/Traces/study/?acc=SRP11067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53C6CD-E590-BC4F-A7D3-97C3028F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1079</Words>
  <Characters>6156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7221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Paul Brindley</cp:lastModifiedBy>
  <cp:revision>15</cp:revision>
  <dcterms:created xsi:type="dcterms:W3CDTF">2018-12-11T00:22:00Z</dcterms:created>
  <dcterms:modified xsi:type="dcterms:W3CDTF">2018-12-11T01:35:00Z</dcterms:modified>
</cp:coreProperties>
</file>