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96AE6A" w:rsidR="00877644" w:rsidRPr="00125190" w:rsidRDefault="00CB04A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either 1 (for computational analyses – as is standard) or </w:t>
      </w:r>
      <w:proofErr w:type="gramStart"/>
      <w:r>
        <w:rPr>
          <w:rFonts w:asciiTheme="minorHAnsi" w:hAnsiTheme="minorHAnsi"/>
        </w:rPr>
        <w:t>n/a</w:t>
      </w:r>
      <w:proofErr w:type="gramEnd"/>
      <w:r>
        <w:rPr>
          <w:rFonts w:asciiTheme="minorHAnsi" w:hAnsiTheme="minorHAnsi"/>
        </w:rPr>
        <w:t xml:space="preserve"> as analyses used purified components.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68B8B12" w14:textId="193BE982" w:rsidR="00CB04AC" w:rsidRPr="00125190" w:rsidRDefault="00CB04AC" w:rsidP="00CB04A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 of repeats described in the Methods sections of the paper. </w:t>
      </w:r>
      <w:r>
        <w:rPr>
          <w:rFonts w:asciiTheme="minorHAnsi" w:hAnsiTheme="minorHAnsi"/>
        </w:rPr>
        <w:t>In general, these</w:t>
      </w:r>
      <w:bookmarkStart w:id="0" w:name="_GoBack"/>
      <w:bookmarkEnd w:id="0"/>
      <w:r>
        <w:rPr>
          <w:rFonts w:asciiTheme="minorHAnsi" w:hAnsiTheme="minorHAnsi"/>
        </w:rPr>
        <w:t xml:space="preserve"> were made based on standards for each technique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5DB1AE" w:rsidR="0015519A" w:rsidRPr="00505C51" w:rsidRDefault="00CB04A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analyses are described in the figure legends, including details of analysis and p-values.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8763D6C" w:rsidR="00BC3CCE" w:rsidRPr="00505C51" w:rsidRDefault="00CB04A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 for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F00A77" w:rsidR="00BC3CCE" w:rsidRPr="00505C51" w:rsidRDefault="00CB04A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 are provided for the bulk of the study. The data for the EPR section will be made available via a database operated by St Andrews (at point of publication).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B04A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04AC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D3D2C601-1E8F-4756-9C77-87E9D76C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9BA8DC-2743-461A-BE6A-C6D2E08B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Robin</cp:lastModifiedBy>
  <cp:revision>2</cp:revision>
  <dcterms:created xsi:type="dcterms:W3CDTF">2018-09-15T14:55:00Z</dcterms:created>
  <dcterms:modified xsi:type="dcterms:W3CDTF">2018-09-15T14:55:00Z</dcterms:modified>
</cp:coreProperties>
</file>