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9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430"/>
        <w:gridCol w:w="1890"/>
      </w:tblGrid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b/>
                <w:sz w:val="20"/>
              </w:rPr>
              <w:t>Variable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b/>
                <w:sz w:val="20"/>
              </w:rPr>
              <w:t>Meaning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b/>
                <w:sz w:val="20"/>
              </w:rPr>
              <w:t>Value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b/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</w:rPr>
                  <m:t>l</m:t>
                </m:r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b/>
                <w:sz w:val="20"/>
              </w:rPr>
            </w:pPr>
            <w:r>
              <w:rPr>
                <w:sz w:val="20"/>
              </w:rPr>
              <w:t>Soma length (cylindrical compartment)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b/>
                <w:sz w:val="20"/>
              </w:rPr>
            </w:pPr>
            <w:r>
              <w:rPr>
                <w:sz w:val="20"/>
              </w:rPr>
              <w:t>10 μ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Default="004115E2" w:rsidP="00C73770">
            <w:pPr>
              <w:widowControl w:val="0"/>
              <w:spacing w:line="360" w:lineRule="auto"/>
              <w:ind w:left="142"/>
              <w:rPr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</w:rPr>
                  <m:t>d</m:t>
                </m:r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Soma diameter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10 μ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 xml:space="preserve">Membrane </w:t>
            </w:r>
            <w:r>
              <w:rPr>
                <w:sz w:val="20"/>
              </w:rPr>
              <w:t>time constant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0.01 s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exc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Excitatory reversal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0 mV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inh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Inhibitory reversal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-70 mV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leak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Leak reversal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-65 mV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Ns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Sodium channel reversal potential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55 mV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Default="004115E2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KDR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Delayed rectifier potassium channel reversal potential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-75 mV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Ns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Sodium channel maximum conductance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>/cm</w:t>
            </w:r>
            <w:r w:rsidRPr="00FF22E3">
              <w:rPr>
                <w:sz w:val="20"/>
                <w:vertAlign w:val="superscript"/>
              </w:rPr>
              <w:t>2</w:t>
            </w:r>
          </w:p>
        </w:tc>
      </w:tr>
      <w:tr w:rsidR="004115E2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Default="004115E2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KDR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Delayed rectifier potassium channel maximum conductance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5E2" w:rsidRPr="00CD6A8C" w:rsidRDefault="004115E2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 xml:space="preserve">25 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>/cm</w:t>
            </w:r>
            <w:r w:rsidRPr="00FF22E3">
              <w:rPr>
                <w:sz w:val="20"/>
                <w:vertAlign w:val="superscript"/>
              </w:rPr>
              <w:t>2</w:t>
            </w:r>
          </w:p>
        </w:tc>
      </w:tr>
    </w:tbl>
    <w:p w:rsidR="009B494D" w:rsidRDefault="009B494D">
      <w:bookmarkStart w:id="0" w:name="_GoBack"/>
      <w:bookmarkEnd w:id="0"/>
    </w:p>
    <w:sectPr w:rsidR="009B4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E2"/>
    <w:rsid w:val="004115E2"/>
    <w:rsid w:val="009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FB97A-E64A-4FDA-A367-F1D4CAA2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15E2"/>
    <w:pPr>
      <w:keepNext/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Aanchal Bhatia</dc:creator>
  <cp:keywords/>
  <dc:description/>
  <cp:lastModifiedBy>Aanchal Bhatia</cp:lastModifiedBy>
  <cp:revision>1</cp:revision>
  <dcterms:created xsi:type="dcterms:W3CDTF">2019-03-14T13:58:00Z</dcterms:created>
  <dcterms:modified xsi:type="dcterms:W3CDTF">2019-03-14T13:59:00Z</dcterms:modified>
</cp:coreProperties>
</file>