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590"/>
        <w:gridCol w:w="1472"/>
        <w:gridCol w:w="4502"/>
        <w:gridCol w:w="2416"/>
      </w:tblGrid>
      <w:tr w:rsidR="00CC6C5D" w14:paraId="28AA8E65" w14:textId="77777777" w:rsidTr="00943915">
        <w:tc>
          <w:tcPr>
            <w:tcW w:w="2590" w:type="dxa"/>
          </w:tcPr>
          <w:p w14:paraId="534E1706" w14:textId="7323B923" w:rsidR="00CC6C5D" w:rsidRDefault="00CC6C5D">
            <w:r>
              <w:t>Component</w:t>
            </w:r>
          </w:p>
        </w:tc>
        <w:tc>
          <w:tcPr>
            <w:tcW w:w="1472" w:type="dxa"/>
          </w:tcPr>
          <w:p w14:paraId="6FBA57FE" w14:textId="59325AEB" w:rsidR="00CC6C5D" w:rsidRDefault="00CC6C5D">
            <w:r>
              <w:t>GO Category</w:t>
            </w:r>
          </w:p>
        </w:tc>
        <w:tc>
          <w:tcPr>
            <w:tcW w:w="4502" w:type="dxa"/>
          </w:tcPr>
          <w:p w14:paraId="75D61CAA" w14:textId="16D7CC03" w:rsidR="00CC6C5D" w:rsidRDefault="00CC6C5D">
            <w:r>
              <w:t>Genes</w:t>
            </w:r>
          </w:p>
        </w:tc>
        <w:tc>
          <w:tcPr>
            <w:tcW w:w="2416" w:type="dxa"/>
          </w:tcPr>
          <w:p w14:paraId="32169DA5" w14:textId="68058855" w:rsidR="00CC6C5D" w:rsidRDefault="00CC6C5D">
            <w:r>
              <w:t xml:space="preserve">Adjusted p-value </w:t>
            </w:r>
          </w:p>
        </w:tc>
      </w:tr>
      <w:tr w:rsidR="00CC6C5D" w14:paraId="3D113F22" w14:textId="77777777" w:rsidTr="00943915">
        <w:tc>
          <w:tcPr>
            <w:tcW w:w="2590" w:type="dxa"/>
          </w:tcPr>
          <w:p w14:paraId="32258F29" w14:textId="6A57E95B" w:rsidR="00CC6C5D" w:rsidRDefault="00CC6C5D">
            <w:r>
              <w:t>49N (Sertoli/Leydig)</w:t>
            </w:r>
          </w:p>
        </w:tc>
        <w:tc>
          <w:tcPr>
            <w:tcW w:w="1472" w:type="dxa"/>
          </w:tcPr>
          <w:p w14:paraId="710D3B46" w14:textId="77777777" w:rsidR="007C0669" w:rsidRPr="0087362C" w:rsidRDefault="007C0669" w:rsidP="007C0669">
            <w:pPr>
              <w:rPr>
                <w:color w:val="000000" w:themeColor="text1"/>
              </w:rPr>
            </w:pPr>
            <w:r w:rsidRPr="0087362C">
              <w:rPr>
                <w:color w:val="000000" w:themeColor="text1"/>
              </w:rPr>
              <w:t>GO:0042982</w:t>
            </w:r>
          </w:p>
          <w:p w14:paraId="3AFCFA58" w14:textId="77777777" w:rsidR="00CC6C5D" w:rsidRPr="0087362C" w:rsidRDefault="00CC6C5D" w:rsidP="00CC6C5D">
            <w:pPr>
              <w:rPr>
                <w:color w:val="000000" w:themeColor="text1"/>
              </w:rPr>
            </w:pPr>
            <w:r w:rsidRPr="0087362C">
              <w:rPr>
                <w:color w:val="000000" w:themeColor="text1"/>
              </w:rPr>
              <w:t>amyloid precursor protein metabolic process</w:t>
            </w:r>
          </w:p>
          <w:p w14:paraId="44112A74" w14:textId="77777777" w:rsidR="00CC6C5D" w:rsidRPr="0087362C" w:rsidRDefault="00CC6C5D">
            <w:pPr>
              <w:rPr>
                <w:color w:val="000000" w:themeColor="text1"/>
              </w:rPr>
            </w:pPr>
          </w:p>
        </w:tc>
        <w:tc>
          <w:tcPr>
            <w:tcW w:w="4502" w:type="dxa"/>
          </w:tcPr>
          <w:p w14:paraId="65F1E2E5" w14:textId="5ACEA15C" w:rsidR="00CC6C5D" w:rsidRDefault="00CC6C5D">
            <w:proofErr w:type="spellStart"/>
            <w:r w:rsidRPr="00BF46FC">
              <w:t>Clu</w:t>
            </w:r>
            <w:proofErr w:type="spellEnd"/>
            <w:r w:rsidRPr="00BF46FC">
              <w:t>/Itm2b/App/Tmed10/Psen2/</w:t>
            </w:r>
            <w:proofErr w:type="spellStart"/>
            <w:r w:rsidRPr="00BF46FC">
              <w:t>Apoe</w:t>
            </w:r>
            <w:proofErr w:type="spellEnd"/>
            <w:r w:rsidRPr="00BF46FC">
              <w:t>/Itm2c</w:t>
            </w:r>
          </w:p>
        </w:tc>
        <w:tc>
          <w:tcPr>
            <w:tcW w:w="2416" w:type="dxa"/>
          </w:tcPr>
          <w:p w14:paraId="6A99F9BD" w14:textId="77777777" w:rsidR="00CC6C5D" w:rsidRPr="00BF46FC" w:rsidRDefault="00CC6C5D" w:rsidP="00BF46FC">
            <w:r w:rsidRPr="00BF46FC">
              <w:t>0.00072 </w:t>
            </w:r>
          </w:p>
          <w:p w14:paraId="0B9A6494" w14:textId="77777777" w:rsidR="00CC6C5D" w:rsidRDefault="00CC6C5D"/>
        </w:tc>
      </w:tr>
      <w:tr w:rsidR="00CC6C5D" w14:paraId="697BC505" w14:textId="77777777" w:rsidTr="00943915">
        <w:tc>
          <w:tcPr>
            <w:tcW w:w="2590" w:type="dxa"/>
          </w:tcPr>
          <w:p w14:paraId="59AFCC1F" w14:textId="4CCE1358" w:rsidR="00CC6C5D" w:rsidRDefault="00CC6C5D">
            <w:r>
              <w:t>26N (Leydig)</w:t>
            </w:r>
          </w:p>
        </w:tc>
        <w:tc>
          <w:tcPr>
            <w:tcW w:w="1472" w:type="dxa"/>
          </w:tcPr>
          <w:p w14:paraId="6A1D03A3" w14:textId="77777777" w:rsidR="007C0669" w:rsidRPr="0087362C" w:rsidRDefault="007C0669" w:rsidP="007C0669">
            <w:pPr>
              <w:rPr>
                <w:color w:val="000000" w:themeColor="text1"/>
              </w:rPr>
            </w:pPr>
            <w:r w:rsidRPr="0087362C">
              <w:rPr>
                <w:color w:val="000000" w:themeColor="text1"/>
              </w:rPr>
              <w:t>GO:0097242</w:t>
            </w:r>
          </w:p>
          <w:p w14:paraId="5429AD83" w14:textId="29BB93EC" w:rsidR="00CC6C5D" w:rsidRPr="0087362C" w:rsidRDefault="00CC6C5D" w:rsidP="00CC6C5D">
            <w:pPr>
              <w:rPr>
                <w:color w:val="000000" w:themeColor="text1"/>
              </w:rPr>
            </w:pPr>
            <w:r w:rsidRPr="0087362C">
              <w:rPr>
                <w:color w:val="000000" w:themeColor="text1"/>
              </w:rPr>
              <w:t>amyloid-beta clearance </w:t>
            </w:r>
          </w:p>
          <w:p w14:paraId="627D999C" w14:textId="77777777" w:rsidR="00CC6C5D" w:rsidRPr="0087362C" w:rsidRDefault="00CC6C5D">
            <w:pPr>
              <w:rPr>
                <w:color w:val="000000" w:themeColor="text1"/>
              </w:rPr>
            </w:pPr>
          </w:p>
        </w:tc>
        <w:tc>
          <w:tcPr>
            <w:tcW w:w="4502" w:type="dxa"/>
          </w:tcPr>
          <w:p w14:paraId="0B16797F" w14:textId="77777777" w:rsidR="00CC6C5D" w:rsidRPr="00CC6C5D" w:rsidRDefault="00CC6C5D" w:rsidP="00CC6C5D">
            <w:proofErr w:type="spellStart"/>
            <w:r w:rsidRPr="00CC6C5D">
              <w:t>Clu</w:t>
            </w:r>
            <w:proofErr w:type="spellEnd"/>
            <w:r w:rsidRPr="00CC6C5D">
              <w:t>/</w:t>
            </w:r>
            <w:proofErr w:type="spellStart"/>
            <w:r w:rsidRPr="00CC6C5D">
              <w:t>Ldlr</w:t>
            </w:r>
            <w:proofErr w:type="spellEnd"/>
            <w:r w:rsidRPr="00CC6C5D">
              <w:t>/Igf1r/C3</w:t>
            </w:r>
          </w:p>
          <w:p w14:paraId="4836BA1F" w14:textId="61966A6C" w:rsidR="00CC6C5D" w:rsidRDefault="00CC6C5D"/>
        </w:tc>
        <w:tc>
          <w:tcPr>
            <w:tcW w:w="2416" w:type="dxa"/>
          </w:tcPr>
          <w:p w14:paraId="02B87923" w14:textId="77777777" w:rsidR="00CC6C5D" w:rsidRPr="00CC6C5D" w:rsidRDefault="00CC6C5D" w:rsidP="00CC6C5D">
            <w:bookmarkStart w:id="0" w:name="_GoBack"/>
            <w:r w:rsidRPr="00CC6C5D">
              <w:t>0.00771</w:t>
            </w:r>
          </w:p>
          <w:bookmarkEnd w:id="0"/>
          <w:p w14:paraId="768F1093" w14:textId="77777777" w:rsidR="00CC6C5D" w:rsidRDefault="00CC6C5D"/>
        </w:tc>
      </w:tr>
      <w:tr w:rsidR="00CC6C5D" w14:paraId="728A5DEE" w14:textId="77777777" w:rsidTr="00943915">
        <w:tc>
          <w:tcPr>
            <w:tcW w:w="2590" w:type="dxa"/>
          </w:tcPr>
          <w:p w14:paraId="4C424721" w14:textId="3FEBBC25" w:rsidR="00CC6C5D" w:rsidRDefault="00CC6C5D">
            <w:r>
              <w:t>16N (rare Sertoli-like)</w:t>
            </w:r>
          </w:p>
        </w:tc>
        <w:tc>
          <w:tcPr>
            <w:tcW w:w="1472" w:type="dxa"/>
          </w:tcPr>
          <w:p w14:paraId="0D36809E" w14:textId="77777777" w:rsidR="007C0669" w:rsidRPr="0087362C" w:rsidRDefault="007C0669" w:rsidP="007C0669">
            <w:pPr>
              <w:rPr>
                <w:color w:val="000000" w:themeColor="text1"/>
              </w:rPr>
            </w:pPr>
            <w:r w:rsidRPr="0087362C">
              <w:rPr>
                <w:rFonts w:ascii="Helvetica Neue" w:hAnsi="Helvetica Neue"/>
                <w:color w:val="000000" w:themeColor="text1"/>
                <w:sz w:val="21"/>
                <w:szCs w:val="21"/>
                <w:shd w:val="clear" w:color="auto" w:fill="FFFFFF"/>
              </w:rPr>
              <w:t>GO:1904645</w:t>
            </w:r>
          </w:p>
          <w:p w14:paraId="0D9D0495" w14:textId="7B32F8F5" w:rsidR="00CC6C5D" w:rsidRPr="0087362C" w:rsidRDefault="00CC6C5D">
            <w:pPr>
              <w:rPr>
                <w:color w:val="000000" w:themeColor="text1"/>
              </w:rPr>
            </w:pPr>
            <w:r w:rsidRPr="0087362C">
              <w:rPr>
                <w:color w:val="000000" w:themeColor="text1"/>
              </w:rPr>
              <w:t>response to amyloid-beta</w:t>
            </w:r>
          </w:p>
        </w:tc>
        <w:tc>
          <w:tcPr>
            <w:tcW w:w="4502" w:type="dxa"/>
          </w:tcPr>
          <w:p w14:paraId="4E5880B6" w14:textId="77777777" w:rsidR="00CC6C5D" w:rsidRPr="00CC6C5D" w:rsidRDefault="00CC6C5D" w:rsidP="00CC6C5D">
            <w:r w:rsidRPr="00CC6C5D">
              <w:t>Casp4/Lrp1/Igf1r/Fyn/Cacna2d1</w:t>
            </w:r>
          </w:p>
          <w:p w14:paraId="25AF8F90" w14:textId="077AD07D" w:rsidR="00CC6C5D" w:rsidRDefault="00CC6C5D"/>
        </w:tc>
        <w:tc>
          <w:tcPr>
            <w:tcW w:w="2416" w:type="dxa"/>
          </w:tcPr>
          <w:p w14:paraId="589DC096" w14:textId="77777777" w:rsidR="00CC6C5D" w:rsidRPr="00CC6C5D" w:rsidRDefault="00CC6C5D" w:rsidP="00CC6C5D">
            <w:r w:rsidRPr="00CC6C5D">
              <w:t>0.00974 </w:t>
            </w:r>
          </w:p>
          <w:p w14:paraId="5B23413B" w14:textId="77777777" w:rsidR="00CC6C5D" w:rsidRDefault="00CC6C5D"/>
        </w:tc>
      </w:tr>
    </w:tbl>
    <w:p w14:paraId="675244D6" w14:textId="75C932C3" w:rsidR="00A07897" w:rsidRDefault="0094538C"/>
    <w:p w14:paraId="42AD4AEA" w14:textId="0D1FD864" w:rsidR="00C62C6C" w:rsidRDefault="00C62C6C"/>
    <w:p w14:paraId="19BD1E97" w14:textId="6A02FB0E" w:rsidR="00C62C6C" w:rsidRDefault="0087362C">
      <w:r>
        <w:t xml:space="preserve">Supplementary File S6. </w:t>
      </w:r>
      <w:r w:rsidR="00C62C6C">
        <w:t xml:space="preserve">GO Categories related to amyloid-beta metabolism show significant enrichment in components 49, 26 and 16. </w:t>
      </w:r>
      <w:r w:rsidR="003C1CEC">
        <w:t>For each component we provide the component description, the GO category description, the genes from that category that were detected as a part of that component, as well as the multiple-test-corrected p-value corresponding to a test for enrichment.</w:t>
      </w:r>
    </w:p>
    <w:sectPr w:rsidR="00C62C6C" w:rsidSect="00C62C6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6FC"/>
    <w:rsid w:val="000275B7"/>
    <w:rsid w:val="0003616F"/>
    <w:rsid w:val="00042153"/>
    <w:rsid w:val="000712DE"/>
    <w:rsid w:val="000E175D"/>
    <w:rsid w:val="001038A3"/>
    <w:rsid w:val="001163FA"/>
    <w:rsid w:val="00137BDC"/>
    <w:rsid w:val="00142A75"/>
    <w:rsid w:val="00145A6B"/>
    <w:rsid w:val="0016255B"/>
    <w:rsid w:val="001860A9"/>
    <w:rsid w:val="001B7825"/>
    <w:rsid w:val="00211A23"/>
    <w:rsid w:val="0022483D"/>
    <w:rsid w:val="00236239"/>
    <w:rsid w:val="00242007"/>
    <w:rsid w:val="0025169B"/>
    <w:rsid w:val="002777E3"/>
    <w:rsid w:val="002D0A0E"/>
    <w:rsid w:val="002F48E2"/>
    <w:rsid w:val="00303BED"/>
    <w:rsid w:val="00333393"/>
    <w:rsid w:val="00333413"/>
    <w:rsid w:val="003674AB"/>
    <w:rsid w:val="00372E26"/>
    <w:rsid w:val="003C1CEC"/>
    <w:rsid w:val="003E2953"/>
    <w:rsid w:val="003F0DB7"/>
    <w:rsid w:val="003F4D66"/>
    <w:rsid w:val="003F789D"/>
    <w:rsid w:val="0041664C"/>
    <w:rsid w:val="004551EA"/>
    <w:rsid w:val="0046208F"/>
    <w:rsid w:val="0047294B"/>
    <w:rsid w:val="004854B2"/>
    <w:rsid w:val="0050432B"/>
    <w:rsid w:val="00525A7C"/>
    <w:rsid w:val="00562D8E"/>
    <w:rsid w:val="005746D0"/>
    <w:rsid w:val="005810DF"/>
    <w:rsid w:val="00613D15"/>
    <w:rsid w:val="00624039"/>
    <w:rsid w:val="00642115"/>
    <w:rsid w:val="006465D0"/>
    <w:rsid w:val="00662F9C"/>
    <w:rsid w:val="00680741"/>
    <w:rsid w:val="00683876"/>
    <w:rsid w:val="00702C70"/>
    <w:rsid w:val="00713C9C"/>
    <w:rsid w:val="00751256"/>
    <w:rsid w:val="007C0669"/>
    <w:rsid w:val="007C07EB"/>
    <w:rsid w:val="007C4C65"/>
    <w:rsid w:val="007D2393"/>
    <w:rsid w:val="008138E5"/>
    <w:rsid w:val="00857838"/>
    <w:rsid w:val="0087362C"/>
    <w:rsid w:val="00896EE2"/>
    <w:rsid w:val="008C760C"/>
    <w:rsid w:val="008D1EF3"/>
    <w:rsid w:val="008F49CC"/>
    <w:rsid w:val="009064B3"/>
    <w:rsid w:val="0094367C"/>
    <w:rsid w:val="00943915"/>
    <w:rsid w:val="0094538C"/>
    <w:rsid w:val="00981572"/>
    <w:rsid w:val="00985EB8"/>
    <w:rsid w:val="009C7F80"/>
    <w:rsid w:val="009E3ADC"/>
    <w:rsid w:val="00A113F2"/>
    <w:rsid w:val="00A95534"/>
    <w:rsid w:val="00AD2596"/>
    <w:rsid w:val="00AE5A5B"/>
    <w:rsid w:val="00B66B51"/>
    <w:rsid w:val="00B75EFD"/>
    <w:rsid w:val="00BF46FC"/>
    <w:rsid w:val="00C07DA0"/>
    <w:rsid w:val="00C1085B"/>
    <w:rsid w:val="00C31B04"/>
    <w:rsid w:val="00C41E86"/>
    <w:rsid w:val="00C458D0"/>
    <w:rsid w:val="00C5084F"/>
    <w:rsid w:val="00C62C6C"/>
    <w:rsid w:val="00CC5985"/>
    <w:rsid w:val="00CC6C5D"/>
    <w:rsid w:val="00D054B7"/>
    <w:rsid w:val="00D17ADD"/>
    <w:rsid w:val="00D4495F"/>
    <w:rsid w:val="00D45203"/>
    <w:rsid w:val="00D942FF"/>
    <w:rsid w:val="00DC653F"/>
    <w:rsid w:val="00DD033F"/>
    <w:rsid w:val="00DD0350"/>
    <w:rsid w:val="00DE306F"/>
    <w:rsid w:val="00DE75E4"/>
    <w:rsid w:val="00E26DBD"/>
    <w:rsid w:val="00EC4F2A"/>
    <w:rsid w:val="00ED1934"/>
    <w:rsid w:val="00EF3DED"/>
    <w:rsid w:val="00F66D63"/>
    <w:rsid w:val="00FD725F"/>
    <w:rsid w:val="00FE5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99F554"/>
  <w14:defaultImageDpi w14:val="32767"/>
  <w15:chartTrackingRefBased/>
  <w15:docId w15:val="{353F28F4-327B-344E-BD76-D0EA3C051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F46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46D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6D0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4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4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Conrad, Don</dc:creator>
  <cp:keywords/>
  <dc:description/>
  <cp:lastModifiedBy>Conrad, Don</cp:lastModifiedBy>
  <cp:revision>5</cp:revision>
  <cp:lastPrinted>2019-05-06T20:02:00Z</cp:lastPrinted>
  <dcterms:created xsi:type="dcterms:W3CDTF">2019-05-06T20:02:00Z</dcterms:created>
  <dcterms:modified xsi:type="dcterms:W3CDTF">2019-05-24T04:59:00Z</dcterms:modified>
</cp:coreProperties>
</file>