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BBD" w:rsidRPr="001F6685" w:rsidRDefault="00DC7F38" w:rsidP="007E7BBD">
      <w:pPr>
        <w:pStyle w:val="Heading3"/>
      </w:pPr>
      <w:r>
        <w:t>Fig. 1, Source Data 1</w:t>
      </w:r>
      <w:r w:rsidR="007E7BBD">
        <w:t>. Comparison of available approaches for measuring membrane potential in cells.</w:t>
      </w:r>
    </w:p>
    <w:tbl>
      <w:tblPr>
        <w:tblStyle w:val="TableGrid"/>
        <w:tblpPr w:leftFromText="180" w:rightFromText="180" w:vertAnchor="text" w:horzAnchor="margin" w:tblpY="-35"/>
        <w:tblW w:w="10584" w:type="dxa"/>
        <w:tblLayout w:type="fixed"/>
        <w:tblLook w:val="04A0" w:firstRow="1" w:lastRow="0" w:firstColumn="1" w:lastColumn="0" w:noHBand="0" w:noVBand="1"/>
      </w:tblPr>
      <w:tblGrid>
        <w:gridCol w:w="1512"/>
        <w:gridCol w:w="1512"/>
        <w:gridCol w:w="1512"/>
        <w:gridCol w:w="1512"/>
        <w:gridCol w:w="1512"/>
        <w:gridCol w:w="1512"/>
        <w:gridCol w:w="1512"/>
      </w:tblGrid>
      <w:tr w:rsidR="007E7BBD" w:rsidRPr="004A2A4D" w:rsidTr="00D31C06">
        <w:trPr>
          <w:trHeight w:val="720"/>
        </w:trPr>
        <w:tc>
          <w:tcPr>
            <w:tcW w:w="1512" w:type="dxa"/>
            <w:vAlign w:val="center"/>
          </w:tcPr>
          <w:p w:rsidR="007E7BBD" w:rsidRPr="00F709FC" w:rsidRDefault="007E7BBD" w:rsidP="00D31C06">
            <w:pPr>
              <w:pStyle w:val="Tabletext"/>
              <w:rPr>
                <w:sz w:val="20"/>
                <w:szCs w:val="20"/>
              </w:rPr>
            </w:pPr>
          </w:p>
        </w:tc>
        <w:tc>
          <w:tcPr>
            <w:tcW w:w="1512" w:type="dxa"/>
            <w:vAlign w:val="center"/>
          </w:tcPr>
          <w:p w:rsidR="007E7BBD" w:rsidRDefault="007E7BBD" w:rsidP="00D31C06">
            <w:pPr>
              <w:pStyle w:val="Tabletext"/>
              <w:rPr>
                <w:b/>
                <w:sz w:val="20"/>
                <w:szCs w:val="20"/>
              </w:rPr>
            </w:pPr>
            <w:r w:rsidRPr="00F709FC">
              <w:rPr>
                <w:b/>
                <w:sz w:val="20"/>
                <w:szCs w:val="20"/>
              </w:rPr>
              <w:t>Patch-clamp electro</w:t>
            </w:r>
            <w:r>
              <w:rPr>
                <w:b/>
                <w:sz w:val="20"/>
                <w:szCs w:val="20"/>
              </w:rPr>
              <w:t>-</w:t>
            </w:r>
          </w:p>
          <w:p w:rsidR="007E7BBD" w:rsidRPr="00F709FC" w:rsidRDefault="007E7BBD" w:rsidP="00D31C06">
            <w:pPr>
              <w:pStyle w:val="Tabletext"/>
              <w:rPr>
                <w:b/>
                <w:sz w:val="20"/>
                <w:szCs w:val="20"/>
              </w:rPr>
            </w:pPr>
            <w:r w:rsidRPr="00F709FC">
              <w:rPr>
                <w:b/>
                <w:sz w:val="20"/>
                <w:szCs w:val="20"/>
              </w:rPr>
              <w:t>physiology</w:t>
            </w:r>
          </w:p>
        </w:tc>
        <w:tc>
          <w:tcPr>
            <w:tcW w:w="1512" w:type="dxa"/>
            <w:vAlign w:val="center"/>
          </w:tcPr>
          <w:p w:rsidR="007E7BBD" w:rsidRPr="00F709FC" w:rsidRDefault="007E7BBD" w:rsidP="00D31C06">
            <w:pPr>
              <w:pStyle w:val="Tabletext"/>
              <w:rPr>
                <w:b/>
                <w:sz w:val="20"/>
                <w:szCs w:val="20"/>
              </w:rPr>
            </w:pPr>
            <w:r w:rsidRPr="00F709FC">
              <w:rPr>
                <w:b/>
                <w:sz w:val="20"/>
                <w:szCs w:val="20"/>
              </w:rPr>
              <w:t>Single color fluorescence intensity imaging</w:t>
            </w:r>
          </w:p>
        </w:tc>
        <w:tc>
          <w:tcPr>
            <w:tcW w:w="1512" w:type="dxa"/>
            <w:vAlign w:val="center"/>
          </w:tcPr>
          <w:p w:rsidR="007E7BBD" w:rsidRPr="00F709FC" w:rsidRDefault="007E7BBD" w:rsidP="00D31C06">
            <w:pPr>
              <w:pStyle w:val="Tabletext"/>
              <w:rPr>
                <w:b/>
                <w:sz w:val="20"/>
                <w:szCs w:val="20"/>
              </w:rPr>
            </w:pPr>
            <w:r>
              <w:rPr>
                <w:b/>
                <w:sz w:val="20"/>
                <w:szCs w:val="20"/>
              </w:rPr>
              <w:t>Two component ratiometric</w:t>
            </w:r>
            <w:r w:rsidRPr="00F709FC">
              <w:rPr>
                <w:b/>
                <w:sz w:val="20"/>
                <w:szCs w:val="20"/>
              </w:rPr>
              <w:t xml:space="preserve"> fluorescen</w:t>
            </w:r>
            <w:r>
              <w:rPr>
                <w:b/>
                <w:sz w:val="20"/>
                <w:szCs w:val="20"/>
              </w:rPr>
              <w:t>t</w:t>
            </w:r>
            <w:r w:rsidRPr="00F709FC">
              <w:rPr>
                <w:b/>
                <w:sz w:val="20"/>
                <w:szCs w:val="20"/>
              </w:rPr>
              <w:t xml:space="preserve"> sensors (FRET-oxonol)</w:t>
            </w:r>
          </w:p>
        </w:tc>
        <w:tc>
          <w:tcPr>
            <w:tcW w:w="1512" w:type="dxa"/>
            <w:vAlign w:val="center"/>
          </w:tcPr>
          <w:p w:rsidR="007E7BBD" w:rsidRPr="00F709FC" w:rsidRDefault="007E7BBD" w:rsidP="00D31C06">
            <w:pPr>
              <w:pStyle w:val="Tabletext"/>
              <w:rPr>
                <w:b/>
                <w:sz w:val="20"/>
                <w:szCs w:val="20"/>
              </w:rPr>
            </w:pPr>
            <w:r>
              <w:rPr>
                <w:b/>
                <w:sz w:val="20"/>
                <w:szCs w:val="20"/>
              </w:rPr>
              <w:t xml:space="preserve">Ratiometric, electrochromic fluorescent sensors </w:t>
            </w:r>
            <w:r w:rsidRPr="00F709FC">
              <w:rPr>
                <w:b/>
                <w:sz w:val="20"/>
                <w:szCs w:val="20"/>
              </w:rPr>
              <w:t>(</w:t>
            </w:r>
            <w:r>
              <w:rPr>
                <w:b/>
                <w:sz w:val="20"/>
                <w:szCs w:val="20"/>
              </w:rPr>
              <w:t>ANEPPS</w:t>
            </w:r>
            <w:r w:rsidRPr="00F709FC">
              <w:rPr>
                <w:b/>
                <w:sz w:val="20"/>
                <w:szCs w:val="20"/>
              </w:rPr>
              <w:t>)</w:t>
            </w:r>
          </w:p>
        </w:tc>
        <w:tc>
          <w:tcPr>
            <w:tcW w:w="1512" w:type="dxa"/>
            <w:vAlign w:val="center"/>
          </w:tcPr>
          <w:p w:rsidR="007E7BBD" w:rsidRPr="00F709FC" w:rsidRDefault="007E7BBD" w:rsidP="00D31C06">
            <w:pPr>
              <w:pStyle w:val="Tabletext"/>
              <w:rPr>
                <w:b/>
                <w:sz w:val="20"/>
                <w:szCs w:val="20"/>
              </w:rPr>
            </w:pPr>
            <w:r w:rsidRPr="00F709FC">
              <w:rPr>
                <w:b/>
                <w:sz w:val="20"/>
                <w:szCs w:val="20"/>
              </w:rPr>
              <w:t>GEVI-based FLIM approaches</w:t>
            </w:r>
          </w:p>
        </w:tc>
        <w:tc>
          <w:tcPr>
            <w:tcW w:w="1512" w:type="dxa"/>
            <w:vAlign w:val="center"/>
          </w:tcPr>
          <w:p w:rsidR="007E7BBD" w:rsidRPr="00F709FC" w:rsidRDefault="007E7BBD" w:rsidP="00D31C06">
            <w:pPr>
              <w:pStyle w:val="Tabletext"/>
              <w:rPr>
                <w:b/>
                <w:sz w:val="20"/>
                <w:szCs w:val="20"/>
              </w:rPr>
            </w:pPr>
            <w:r w:rsidRPr="00F709FC">
              <w:rPr>
                <w:b/>
                <w:sz w:val="20"/>
                <w:szCs w:val="20"/>
              </w:rPr>
              <w:t xml:space="preserve">FLIM with VoltageFluors (VF-FLIM, </w:t>
            </w:r>
            <w:r w:rsidRPr="00F63E1F">
              <w:rPr>
                <w:b/>
                <w:i/>
                <w:sz w:val="20"/>
                <w:szCs w:val="20"/>
                <w:u w:val="single"/>
              </w:rPr>
              <w:t>this work</w:t>
            </w:r>
            <w:r w:rsidRPr="00F709FC">
              <w:rPr>
                <w:b/>
                <w:sz w:val="20"/>
                <w:szCs w:val="20"/>
              </w:rPr>
              <w:t>)</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Absolute V</w:t>
            </w:r>
            <w:r w:rsidRPr="00F709FC">
              <w:rPr>
                <w:b/>
                <w:sz w:val="20"/>
                <w:szCs w:val="20"/>
                <w:vertAlign w:val="subscript"/>
              </w:rPr>
              <w:t>mem</w:t>
            </w:r>
            <w:r w:rsidRPr="00F709FC">
              <w:rPr>
                <w:b/>
                <w:sz w:val="20"/>
                <w:szCs w:val="20"/>
              </w:rPr>
              <w:t xml:space="preserve"> resolution (between cell comparisons)</w:t>
            </w:r>
          </w:p>
        </w:tc>
        <w:tc>
          <w:tcPr>
            <w:tcW w:w="1512" w:type="dxa"/>
            <w:vAlign w:val="center"/>
          </w:tcPr>
          <w:p w:rsidR="007E7BBD" w:rsidRPr="00F709FC" w:rsidRDefault="007E7BBD" w:rsidP="00D31C06">
            <w:pPr>
              <w:pStyle w:val="Tabletext"/>
              <w:rPr>
                <w:sz w:val="20"/>
                <w:szCs w:val="20"/>
              </w:rPr>
            </w:pPr>
            <w:r w:rsidRPr="00F709FC">
              <w:rPr>
                <w:sz w:val="20"/>
                <w:szCs w:val="20"/>
              </w:rPr>
              <w:t>excellent</w:t>
            </w:r>
          </w:p>
        </w:tc>
        <w:tc>
          <w:tcPr>
            <w:tcW w:w="1512" w:type="dxa"/>
            <w:vAlign w:val="center"/>
          </w:tcPr>
          <w:p w:rsidR="007E7BBD" w:rsidRPr="00F709FC" w:rsidRDefault="007E7BBD" w:rsidP="00D31C06">
            <w:pPr>
              <w:pStyle w:val="Tabletext"/>
              <w:rPr>
                <w:sz w:val="20"/>
                <w:szCs w:val="20"/>
              </w:rPr>
            </w:pPr>
            <w:r w:rsidRPr="00F709FC">
              <w:rPr>
                <w:sz w:val="20"/>
                <w:szCs w:val="20"/>
              </w:rPr>
              <w:t>none</w:t>
            </w:r>
            <w:r w:rsidRPr="00F709FC">
              <w:rPr>
                <w:sz w:val="20"/>
                <w:szCs w:val="20"/>
                <w:vertAlign w:val="superscript"/>
              </w:rPr>
              <w:t>a</w:t>
            </w:r>
          </w:p>
        </w:tc>
        <w:tc>
          <w:tcPr>
            <w:tcW w:w="1512" w:type="dxa"/>
            <w:vAlign w:val="center"/>
          </w:tcPr>
          <w:p w:rsidR="007E7BBD" w:rsidRPr="00F709FC" w:rsidRDefault="007E7BBD" w:rsidP="00D31C06">
            <w:pPr>
              <w:pStyle w:val="Tabletext"/>
              <w:rPr>
                <w:sz w:val="20"/>
                <w:szCs w:val="20"/>
              </w:rPr>
            </w:pPr>
            <w:r>
              <w:rPr>
                <w:sz w:val="20"/>
                <w:szCs w:val="20"/>
              </w:rPr>
              <w:t xml:space="preserve">very </w:t>
            </w:r>
            <w:r w:rsidRPr="00F709FC">
              <w:rPr>
                <w:sz w:val="20"/>
                <w:szCs w:val="20"/>
              </w:rPr>
              <w:t>poor</w:t>
            </w:r>
            <w:r w:rsidRPr="00F709FC">
              <w:rPr>
                <w:sz w:val="20"/>
                <w:szCs w:val="20"/>
                <w:vertAlign w:val="superscript"/>
              </w:rPr>
              <w:t>b</w:t>
            </w:r>
          </w:p>
        </w:tc>
        <w:tc>
          <w:tcPr>
            <w:tcW w:w="1512" w:type="dxa"/>
            <w:vAlign w:val="center"/>
          </w:tcPr>
          <w:p w:rsidR="007E7BBD" w:rsidRDefault="007E7BBD" w:rsidP="00D31C06">
            <w:pPr>
              <w:pStyle w:val="Tabletext"/>
              <w:rPr>
                <w:sz w:val="20"/>
                <w:szCs w:val="20"/>
              </w:rPr>
            </w:pPr>
            <w:r>
              <w:rPr>
                <w:sz w:val="20"/>
                <w:szCs w:val="20"/>
              </w:rPr>
              <w:t>poor</w:t>
            </w:r>
            <w:r w:rsidRPr="00F63E1F">
              <w:rPr>
                <w:sz w:val="20"/>
                <w:szCs w:val="20"/>
                <w:vertAlign w:val="superscript"/>
              </w:rPr>
              <w:t>c</w:t>
            </w:r>
          </w:p>
        </w:tc>
        <w:tc>
          <w:tcPr>
            <w:tcW w:w="1512" w:type="dxa"/>
            <w:vAlign w:val="center"/>
          </w:tcPr>
          <w:p w:rsidR="007E7BBD" w:rsidRPr="00F709FC" w:rsidRDefault="007E7BBD" w:rsidP="00D31C06">
            <w:pPr>
              <w:pStyle w:val="Tabletext"/>
              <w:rPr>
                <w:sz w:val="20"/>
                <w:szCs w:val="20"/>
              </w:rPr>
            </w:pPr>
            <w:r>
              <w:rPr>
                <w:sz w:val="20"/>
                <w:szCs w:val="20"/>
              </w:rPr>
              <w:t xml:space="preserve">very </w:t>
            </w:r>
            <w:r w:rsidRPr="00F709FC">
              <w:rPr>
                <w:sz w:val="20"/>
                <w:szCs w:val="20"/>
              </w:rPr>
              <w:t>poor</w:t>
            </w:r>
            <w:r>
              <w:rPr>
                <w:sz w:val="20"/>
                <w:szCs w:val="20"/>
                <w:vertAlign w:val="superscript"/>
              </w:rPr>
              <w:t>d</w:t>
            </w:r>
          </w:p>
        </w:tc>
        <w:tc>
          <w:tcPr>
            <w:tcW w:w="1512" w:type="dxa"/>
            <w:vAlign w:val="center"/>
          </w:tcPr>
          <w:p w:rsidR="007E7BBD" w:rsidRPr="00F709FC" w:rsidRDefault="007E7BBD" w:rsidP="00D31C06">
            <w:pPr>
              <w:pStyle w:val="Tabletext"/>
              <w:rPr>
                <w:sz w:val="20"/>
                <w:szCs w:val="20"/>
              </w:rPr>
            </w:pPr>
            <w:r w:rsidRPr="00F709FC">
              <w:rPr>
                <w:sz w:val="20"/>
                <w:szCs w:val="20"/>
              </w:rPr>
              <w:t>good</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Quantification of V</w:t>
            </w:r>
            <w:r w:rsidRPr="00F709FC">
              <w:rPr>
                <w:b/>
                <w:sz w:val="20"/>
                <w:szCs w:val="20"/>
                <w:vertAlign w:val="subscript"/>
              </w:rPr>
              <w:t>mem</w:t>
            </w:r>
            <w:r w:rsidRPr="00F709FC">
              <w:rPr>
                <w:b/>
                <w:sz w:val="20"/>
                <w:szCs w:val="20"/>
              </w:rPr>
              <w:t xml:space="preserve"> changes on a given cell</w:t>
            </w:r>
          </w:p>
        </w:tc>
        <w:tc>
          <w:tcPr>
            <w:tcW w:w="1512" w:type="dxa"/>
            <w:vAlign w:val="center"/>
          </w:tcPr>
          <w:p w:rsidR="007E7BBD" w:rsidRPr="00F709FC" w:rsidRDefault="007E7BBD" w:rsidP="00D31C06">
            <w:pPr>
              <w:pStyle w:val="Tabletext"/>
              <w:rPr>
                <w:sz w:val="20"/>
                <w:szCs w:val="20"/>
              </w:rPr>
            </w:pPr>
            <w:r w:rsidRPr="00F709FC">
              <w:rPr>
                <w:sz w:val="20"/>
                <w:szCs w:val="20"/>
              </w:rPr>
              <w:t>excellent</w:t>
            </w:r>
          </w:p>
        </w:tc>
        <w:tc>
          <w:tcPr>
            <w:tcW w:w="1512" w:type="dxa"/>
            <w:vAlign w:val="center"/>
          </w:tcPr>
          <w:p w:rsidR="007E7BBD" w:rsidRPr="00F709FC" w:rsidRDefault="007E7BBD" w:rsidP="00D31C06">
            <w:pPr>
              <w:pStyle w:val="Tabletext"/>
              <w:rPr>
                <w:sz w:val="20"/>
                <w:szCs w:val="20"/>
              </w:rPr>
            </w:pPr>
            <w:r w:rsidRPr="00F709FC">
              <w:rPr>
                <w:sz w:val="20"/>
                <w:szCs w:val="20"/>
              </w:rPr>
              <w:t>none</w:t>
            </w:r>
            <w:r w:rsidRPr="00F709FC">
              <w:rPr>
                <w:sz w:val="20"/>
                <w:szCs w:val="20"/>
                <w:vertAlign w:val="superscript"/>
              </w:rPr>
              <w:t>a</w:t>
            </w:r>
          </w:p>
        </w:tc>
        <w:tc>
          <w:tcPr>
            <w:tcW w:w="1512" w:type="dxa"/>
            <w:vAlign w:val="center"/>
          </w:tcPr>
          <w:p w:rsidR="007E7BBD" w:rsidRPr="00F709FC" w:rsidRDefault="007E7BBD" w:rsidP="00D31C06">
            <w:pPr>
              <w:pStyle w:val="Tabletext"/>
              <w:rPr>
                <w:sz w:val="20"/>
                <w:szCs w:val="20"/>
              </w:rPr>
            </w:pPr>
            <w:r>
              <w:rPr>
                <w:sz w:val="20"/>
                <w:szCs w:val="20"/>
              </w:rPr>
              <w:t>poor</w:t>
            </w:r>
            <w:r w:rsidRPr="00F709FC">
              <w:rPr>
                <w:sz w:val="20"/>
                <w:szCs w:val="20"/>
                <w:vertAlign w:val="superscript"/>
              </w:rPr>
              <w:t>b</w:t>
            </w:r>
          </w:p>
        </w:tc>
        <w:tc>
          <w:tcPr>
            <w:tcW w:w="1512" w:type="dxa"/>
            <w:vAlign w:val="center"/>
          </w:tcPr>
          <w:p w:rsidR="007E7BBD" w:rsidRDefault="007E7BBD" w:rsidP="00D31C06">
            <w:pPr>
              <w:pStyle w:val="Tabletext"/>
              <w:rPr>
                <w:sz w:val="20"/>
                <w:szCs w:val="20"/>
              </w:rPr>
            </w:pPr>
            <w:r>
              <w:rPr>
                <w:sz w:val="20"/>
                <w:szCs w:val="20"/>
              </w:rPr>
              <w:t>poor</w:t>
            </w:r>
            <w:r w:rsidRPr="00F63E1F">
              <w:rPr>
                <w:sz w:val="20"/>
                <w:szCs w:val="20"/>
                <w:vertAlign w:val="superscript"/>
              </w:rPr>
              <w:t>c</w:t>
            </w:r>
          </w:p>
        </w:tc>
        <w:tc>
          <w:tcPr>
            <w:tcW w:w="1512" w:type="dxa"/>
            <w:vAlign w:val="center"/>
          </w:tcPr>
          <w:p w:rsidR="007E7BBD" w:rsidRPr="00F709FC" w:rsidRDefault="007E7BBD" w:rsidP="00D31C06">
            <w:pPr>
              <w:pStyle w:val="Tabletext"/>
              <w:rPr>
                <w:sz w:val="20"/>
                <w:szCs w:val="20"/>
              </w:rPr>
            </w:pPr>
            <w:r>
              <w:rPr>
                <w:sz w:val="20"/>
                <w:szCs w:val="20"/>
              </w:rPr>
              <w:t>poor</w:t>
            </w:r>
            <w:r>
              <w:rPr>
                <w:sz w:val="20"/>
                <w:szCs w:val="20"/>
                <w:vertAlign w:val="superscript"/>
              </w:rPr>
              <w:t>d</w:t>
            </w:r>
          </w:p>
        </w:tc>
        <w:tc>
          <w:tcPr>
            <w:tcW w:w="1512" w:type="dxa"/>
            <w:vAlign w:val="center"/>
          </w:tcPr>
          <w:p w:rsidR="007E7BBD" w:rsidRPr="00F709FC" w:rsidRDefault="007E7BBD" w:rsidP="00D31C06">
            <w:pPr>
              <w:pStyle w:val="Tabletext"/>
              <w:rPr>
                <w:sz w:val="20"/>
                <w:szCs w:val="20"/>
              </w:rPr>
            </w:pPr>
            <w:r>
              <w:rPr>
                <w:sz w:val="20"/>
                <w:szCs w:val="20"/>
              </w:rPr>
              <w:t>excellent</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Compatib</w:t>
            </w:r>
            <w:r>
              <w:rPr>
                <w:b/>
                <w:sz w:val="20"/>
                <w:szCs w:val="20"/>
              </w:rPr>
              <w:t>ility</w:t>
            </w:r>
            <w:r w:rsidRPr="00F709FC">
              <w:rPr>
                <w:b/>
                <w:sz w:val="20"/>
                <w:szCs w:val="20"/>
              </w:rPr>
              <w:t xml:space="preserve"> with long time scales</w:t>
            </w:r>
          </w:p>
        </w:tc>
        <w:tc>
          <w:tcPr>
            <w:tcW w:w="1512" w:type="dxa"/>
            <w:vAlign w:val="center"/>
          </w:tcPr>
          <w:p w:rsidR="007E7BBD" w:rsidRPr="00F709FC" w:rsidRDefault="007E7BBD" w:rsidP="00D31C06">
            <w:pPr>
              <w:pStyle w:val="Tabletext"/>
              <w:rPr>
                <w:sz w:val="20"/>
                <w:szCs w:val="20"/>
              </w:rPr>
            </w:pPr>
            <w:r w:rsidRPr="00F709FC">
              <w:rPr>
                <w:sz w:val="20"/>
                <w:szCs w:val="20"/>
              </w:rPr>
              <w:t>poor</w:t>
            </w:r>
            <w:r>
              <w:rPr>
                <w:sz w:val="20"/>
                <w:szCs w:val="20"/>
                <w:vertAlign w:val="superscript"/>
              </w:rPr>
              <w:t>e</w:t>
            </w:r>
          </w:p>
        </w:tc>
        <w:tc>
          <w:tcPr>
            <w:tcW w:w="1512" w:type="dxa"/>
            <w:vAlign w:val="center"/>
          </w:tcPr>
          <w:p w:rsidR="007E7BBD" w:rsidRPr="00F709FC" w:rsidRDefault="007E7BBD" w:rsidP="00D31C06">
            <w:pPr>
              <w:pStyle w:val="Tabletext"/>
              <w:rPr>
                <w:sz w:val="20"/>
                <w:szCs w:val="20"/>
              </w:rPr>
            </w:pPr>
            <w:r w:rsidRPr="00F709FC">
              <w:rPr>
                <w:sz w:val="20"/>
                <w:szCs w:val="20"/>
              </w:rPr>
              <w:t>poor</w:t>
            </w:r>
            <w:r>
              <w:rPr>
                <w:sz w:val="20"/>
                <w:szCs w:val="20"/>
                <w:vertAlign w:val="superscript"/>
              </w:rPr>
              <w:t>f</w:t>
            </w:r>
          </w:p>
        </w:tc>
        <w:tc>
          <w:tcPr>
            <w:tcW w:w="1512" w:type="dxa"/>
            <w:vAlign w:val="center"/>
          </w:tcPr>
          <w:p w:rsidR="007E7BBD" w:rsidRPr="00F709FC" w:rsidRDefault="007E7BBD" w:rsidP="00D31C06">
            <w:pPr>
              <w:pStyle w:val="Tabletext"/>
              <w:rPr>
                <w:sz w:val="20"/>
                <w:szCs w:val="20"/>
              </w:rPr>
            </w:pPr>
            <w:r w:rsidRPr="00F709FC">
              <w:rPr>
                <w:sz w:val="20"/>
                <w:szCs w:val="20"/>
              </w:rPr>
              <w:t>good</w:t>
            </w:r>
            <w:r>
              <w:rPr>
                <w:sz w:val="20"/>
                <w:szCs w:val="20"/>
                <w:vertAlign w:val="superscript"/>
              </w:rPr>
              <w:t>g</w:t>
            </w:r>
          </w:p>
        </w:tc>
        <w:tc>
          <w:tcPr>
            <w:tcW w:w="1512" w:type="dxa"/>
            <w:vAlign w:val="center"/>
          </w:tcPr>
          <w:p w:rsidR="007E7BBD" w:rsidRPr="00F709FC" w:rsidRDefault="007E7BBD" w:rsidP="00D31C06">
            <w:pPr>
              <w:pStyle w:val="Tabletext"/>
              <w:rPr>
                <w:sz w:val="20"/>
                <w:szCs w:val="20"/>
              </w:rPr>
            </w:pPr>
            <w:r>
              <w:rPr>
                <w:sz w:val="20"/>
                <w:szCs w:val="20"/>
              </w:rPr>
              <w:t>good</w:t>
            </w:r>
            <w:r>
              <w:rPr>
                <w:sz w:val="20"/>
                <w:szCs w:val="20"/>
                <w:vertAlign w:val="superscript"/>
              </w:rPr>
              <w:t>g</w:t>
            </w:r>
          </w:p>
        </w:tc>
        <w:tc>
          <w:tcPr>
            <w:tcW w:w="1512" w:type="dxa"/>
            <w:vAlign w:val="center"/>
          </w:tcPr>
          <w:p w:rsidR="007E7BBD" w:rsidRPr="00F709FC" w:rsidRDefault="007E7BBD" w:rsidP="00D31C06">
            <w:pPr>
              <w:pStyle w:val="Tabletext"/>
              <w:rPr>
                <w:sz w:val="20"/>
                <w:szCs w:val="20"/>
              </w:rPr>
            </w:pPr>
            <w:r w:rsidRPr="00F709FC">
              <w:rPr>
                <w:sz w:val="20"/>
                <w:szCs w:val="20"/>
              </w:rPr>
              <w:t>good</w:t>
            </w:r>
          </w:p>
        </w:tc>
        <w:tc>
          <w:tcPr>
            <w:tcW w:w="1512" w:type="dxa"/>
            <w:vAlign w:val="center"/>
          </w:tcPr>
          <w:p w:rsidR="007E7BBD" w:rsidRPr="00F709FC" w:rsidRDefault="007E7BBD" w:rsidP="00D31C06">
            <w:pPr>
              <w:pStyle w:val="Tabletext"/>
              <w:rPr>
                <w:sz w:val="20"/>
                <w:szCs w:val="20"/>
              </w:rPr>
            </w:pPr>
            <w:r w:rsidRPr="00F709FC">
              <w:rPr>
                <w:sz w:val="20"/>
                <w:szCs w:val="20"/>
              </w:rPr>
              <w:t>good</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Temporal resolution</w:t>
            </w:r>
          </w:p>
        </w:tc>
        <w:tc>
          <w:tcPr>
            <w:tcW w:w="1512" w:type="dxa"/>
            <w:vAlign w:val="center"/>
          </w:tcPr>
          <w:p w:rsidR="007E7BBD" w:rsidRPr="00F709FC" w:rsidRDefault="007E7BBD" w:rsidP="00D31C06">
            <w:pPr>
              <w:pStyle w:val="Tabletext"/>
              <w:rPr>
                <w:sz w:val="20"/>
                <w:szCs w:val="20"/>
              </w:rPr>
            </w:pPr>
            <w:r w:rsidRPr="00F709FC">
              <w:rPr>
                <w:sz w:val="20"/>
                <w:szCs w:val="20"/>
              </w:rPr>
              <w:t>sub-millisecond</w:t>
            </w:r>
          </w:p>
        </w:tc>
        <w:tc>
          <w:tcPr>
            <w:tcW w:w="1512" w:type="dxa"/>
            <w:vAlign w:val="center"/>
          </w:tcPr>
          <w:p w:rsidR="007E7BBD" w:rsidRPr="00F709FC" w:rsidRDefault="007E7BBD" w:rsidP="00D31C06">
            <w:pPr>
              <w:pStyle w:val="Tabletext"/>
              <w:rPr>
                <w:sz w:val="20"/>
                <w:szCs w:val="20"/>
              </w:rPr>
            </w:pPr>
            <w:r w:rsidRPr="00F709FC">
              <w:rPr>
                <w:sz w:val="20"/>
                <w:szCs w:val="20"/>
              </w:rPr>
              <w:t>~1 ms</w:t>
            </w:r>
            <w:r>
              <w:rPr>
                <w:sz w:val="20"/>
                <w:szCs w:val="20"/>
                <w:vertAlign w:val="superscript"/>
              </w:rPr>
              <w:t>h</w:t>
            </w:r>
          </w:p>
        </w:tc>
        <w:tc>
          <w:tcPr>
            <w:tcW w:w="1512" w:type="dxa"/>
            <w:vAlign w:val="center"/>
          </w:tcPr>
          <w:p w:rsidR="007E7BBD" w:rsidRPr="00F709FC" w:rsidRDefault="007E7BBD" w:rsidP="00D31C06">
            <w:pPr>
              <w:pStyle w:val="Tabletext"/>
              <w:rPr>
                <w:sz w:val="20"/>
                <w:szCs w:val="20"/>
              </w:rPr>
            </w:pPr>
            <w:r w:rsidRPr="00F709FC">
              <w:rPr>
                <w:sz w:val="20"/>
                <w:szCs w:val="20"/>
              </w:rPr>
              <w:t>2-500 ms</w:t>
            </w:r>
            <w:r>
              <w:rPr>
                <w:sz w:val="20"/>
                <w:szCs w:val="20"/>
                <w:vertAlign w:val="superscript"/>
              </w:rPr>
              <w:t>i</w:t>
            </w:r>
          </w:p>
        </w:tc>
        <w:tc>
          <w:tcPr>
            <w:tcW w:w="1512" w:type="dxa"/>
            <w:vAlign w:val="center"/>
          </w:tcPr>
          <w:p w:rsidR="007E7BBD" w:rsidRPr="00AD40C9" w:rsidRDefault="007E7BBD" w:rsidP="00D31C06">
            <w:pPr>
              <w:pStyle w:val="Tabletext"/>
              <w:rPr>
                <w:sz w:val="20"/>
                <w:szCs w:val="20"/>
              </w:rPr>
            </w:pPr>
            <w:r w:rsidRPr="00F63E1F">
              <w:rPr>
                <w:sz w:val="20"/>
                <w:szCs w:val="20"/>
              </w:rPr>
              <w:t>~1 ms</w:t>
            </w:r>
            <w:r w:rsidRPr="00F63E1F">
              <w:rPr>
                <w:sz w:val="20"/>
                <w:szCs w:val="20"/>
                <w:vertAlign w:val="superscript"/>
              </w:rPr>
              <w:t>h</w:t>
            </w:r>
          </w:p>
        </w:tc>
        <w:tc>
          <w:tcPr>
            <w:tcW w:w="1512" w:type="dxa"/>
            <w:vAlign w:val="center"/>
          </w:tcPr>
          <w:p w:rsidR="007E7BBD" w:rsidRPr="00F709FC" w:rsidRDefault="007E7BBD" w:rsidP="00D31C06">
            <w:pPr>
              <w:pStyle w:val="Tabletext"/>
              <w:rPr>
                <w:sz w:val="20"/>
                <w:szCs w:val="20"/>
              </w:rPr>
            </w:pPr>
            <w:r>
              <w:rPr>
                <w:sz w:val="20"/>
                <w:szCs w:val="20"/>
              </w:rPr>
              <w:t>s</w:t>
            </w:r>
            <w:r w:rsidRPr="00F709FC">
              <w:rPr>
                <w:sz w:val="20"/>
                <w:szCs w:val="20"/>
              </w:rPr>
              <w:t>econds</w:t>
            </w:r>
            <w:r>
              <w:rPr>
                <w:sz w:val="20"/>
                <w:szCs w:val="20"/>
                <w:vertAlign w:val="superscript"/>
              </w:rPr>
              <w:t>j</w:t>
            </w:r>
          </w:p>
        </w:tc>
        <w:tc>
          <w:tcPr>
            <w:tcW w:w="1512" w:type="dxa"/>
            <w:vAlign w:val="center"/>
          </w:tcPr>
          <w:p w:rsidR="007E7BBD" w:rsidRPr="00F709FC" w:rsidRDefault="007E7BBD" w:rsidP="00D31C06">
            <w:pPr>
              <w:pStyle w:val="Tabletext"/>
              <w:rPr>
                <w:sz w:val="20"/>
                <w:szCs w:val="20"/>
              </w:rPr>
            </w:pPr>
            <w:r w:rsidRPr="00F709FC">
              <w:rPr>
                <w:sz w:val="20"/>
                <w:szCs w:val="20"/>
              </w:rPr>
              <w:t>seconds</w:t>
            </w:r>
            <w:r>
              <w:rPr>
                <w:sz w:val="20"/>
                <w:szCs w:val="20"/>
                <w:vertAlign w:val="superscript"/>
              </w:rPr>
              <w:t>j</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Minimal invasiveness, damage</w:t>
            </w:r>
          </w:p>
        </w:tc>
        <w:tc>
          <w:tcPr>
            <w:tcW w:w="1512" w:type="dxa"/>
            <w:vAlign w:val="center"/>
          </w:tcPr>
          <w:p w:rsidR="007E7BBD" w:rsidRPr="00F709FC" w:rsidRDefault="007E7BBD" w:rsidP="00D31C06">
            <w:pPr>
              <w:pStyle w:val="Tabletext"/>
              <w:rPr>
                <w:sz w:val="20"/>
                <w:szCs w:val="20"/>
              </w:rPr>
            </w:pPr>
            <w:r>
              <w:rPr>
                <w:sz w:val="20"/>
                <w:szCs w:val="20"/>
              </w:rPr>
              <w:t xml:space="preserve">very </w:t>
            </w:r>
            <w:r w:rsidRPr="00F709FC">
              <w:rPr>
                <w:sz w:val="20"/>
                <w:szCs w:val="20"/>
              </w:rPr>
              <w:t>poor</w:t>
            </w:r>
            <w:r>
              <w:rPr>
                <w:sz w:val="20"/>
                <w:szCs w:val="20"/>
                <w:vertAlign w:val="superscript"/>
              </w:rPr>
              <w:t>e</w:t>
            </w:r>
          </w:p>
        </w:tc>
        <w:tc>
          <w:tcPr>
            <w:tcW w:w="1512" w:type="dxa"/>
            <w:vAlign w:val="center"/>
          </w:tcPr>
          <w:p w:rsidR="007E7BBD" w:rsidRPr="00F709FC" w:rsidRDefault="007E7BBD" w:rsidP="00D31C06">
            <w:pPr>
              <w:pStyle w:val="Tabletext"/>
              <w:rPr>
                <w:sz w:val="20"/>
                <w:szCs w:val="20"/>
              </w:rPr>
            </w:pPr>
            <w:r>
              <w:rPr>
                <w:sz w:val="20"/>
                <w:szCs w:val="20"/>
              </w:rPr>
              <w:t>good</w:t>
            </w:r>
          </w:p>
        </w:tc>
        <w:tc>
          <w:tcPr>
            <w:tcW w:w="1512" w:type="dxa"/>
            <w:vAlign w:val="center"/>
          </w:tcPr>
          <w:p w:rsidR="007E7BBD" w:rsidRPr="00F709FC" w:rsidRDefault="007E7BBD" w:rsidP="00D31C06">
            <w:pPr>
              <w:pStyle w:val="Tabletext"/>
              <w:rPr>
                <w:sz w:val="20"/>
                <w:szCs w:val="20"/>
              </w:rPr>
            </w:pPr>
            <w:r w:rsidRPr="00F709FC">
              <w:rPr>
                <w:sz w:val="20"/>
                <w:szCs w:val="20"/>
              </w:rPr>
              <w:t>poor</w:t>
            </w:r>
            <w:r>
              <w:rPr>
                <w:sz w:val="20"/>
                <w:szCs w:val="20"/>
                <w:vertAlign w:val="superscript"/>
              </w:rPr>
              <w:t>k</w:t>
            </w:r>
          </w:p>
        </w:tc>
        <w:tc>
          <w:tcPr>
            <w:tcW w:w="1512" w:type="dxa"/>
            <w:vAlign w:val="center"/>
          </w:tcPr>
          <w:p w:rsidR="007E7BBD" w:rsidRPr="00F709FC" w:rsidRDefault="007E7BBD" w:rsidP="00D31C06">
            <w:pPr>
              <w:pStyle w:val="Tabletext"/>
              <w:rPr>
                <w:sz w:val="20"/>
                <w:szCs w:val="20"/>
              </w:rPr>
            </w:pPr>
            <w:r>
              <w:rPr>
                <w:sz w:val="20"/>
                <w:szCs w:val="20"/>
              </w:rPr>
              <w:t>good</w:t>
            </w:r>
          </w:p>
        </w:tc>
        <w:tc>
          <w:tcPr>
            <w:tcW w:w="1512" w:type="dxa"/>
            <w:vAlign w:val="center"/>
          </w:tcPr>
          <w:p w:rsidR="007E7BBD" w:rsidRPr="00F709FC" w:rsidRDefault="007E7BBD" w:rsidP="00D31C06">
            <w:pPr>
              <w:pStyle w:val="Tabletext"/>
              <w:rPr>
                <w:sz w:val="20"/>
                <w:szCs w:val="20"/>
              </w:rPr>
            </w:pPr>
            <w:r>
              <w:rPr>
                <w:sz w:val="20"/>
                <w:szCs w:val="20"/>
              </w:rPr>
              <w:t>good</w:t>
            </w:r>
          </w:p>
        </w:tc>
        <w:tc>
          <w:tcPr>
            <w:tcW w:w="1512" w:type="dxa"/>
            <w:vAlign w:val="center"/>
          </w:tcPr>
          <w:p w:rsidR="007E7BBD" w:rsidRPr="00F709FC" w:rsidRDefault="007E7BBD" w:rsidP="00D31C06">
            <w:pPr>
              <w:pStyle w:val="Tabletext"/>
              <w:rPr>
                <w:sz w:val="20"/>
                <w:szCs w:val="20"/>
              </w:rPr>
            </w:pPr>
            <w:r>
              <w:rPr>
                <w:sz w:val="20"/>
                <w:szCs w:val="20"/>
              </w:rPr>
              <w:t>good</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Throughput (cells/day)</w:t>
            </w:r>
          </w:p>
        </w:tc>
        <w:tc>
          <w:tcPr>
            <w:tcW w:w="1512" w:type="dxa"/>
            <w:vAlign w:val="center"/>
          </w:tcPr>
          <w:p w:rsidR="007E7BBD" w:rsidRPr="00F709FC" w:rsidRDefault="007E7BBD" w:rsidP="00D31C06">
            <w:pPr>
              <w:pStyle w:val="Tabletext"/>
              <w:rPr>
                <w:sz w:val="20"/>
                <w:szCs w:val="20"/>
              </w:rPr>
            </w:pPr>
            <w:r w:rsidRPr="00F709FC">
              <w:rPr>
                <w:sz w:val="20"/>
                <w:szCs w:val="20"/>
              </w:rPr>
              <w:t>10s</w:t>
            </w:r>
          </w:p>
        </w:tc>
        <w:tc>
          <w:tcPr>
            <w:tcW w:w="1512" w:type="dxa"/>
            <w:vAlign w:val="center"/>
          </w:tcPr>
          <w:p w:rsidR="007E7BBD" w:rsidRPr="00F709FC" w:rsidRDefault="007E7BBD" w:rsidP="00D31C06">
            <w:pPr>
              <w:pStyle w:val="Tabletext"/>
              <w:rPr>
                <w:sz w:val="20"/>
                <w:szCs w:val="20"/>
              </w:rPr>
            </w:pPr>
            <w:r w:rsidRPr="00F709FC">
              <w:rPr>
                <w:sz w:val="20"/>
                <w:szCs w:val="20"/>
              </w:rPr>
              <w:t>1000s</w:t>
            </w:r>
          </w:p>
        </w:tc>
        <w:tc>
          <w:tcPr>
            <w:tcW w:w="1512" w:type="dxa"/>
            <w:vAlign w:val="center"/>
          </w:tcPr>
          <w:p w:rsidR="007E7BBD" w:rsidRPr="00F709FC" w:rsidRDefault="007E7BBD" w:rsidP="00D31C06">
            <w:pPr>
              <w:pStyle w:val="Tabletext"/>
              <w:rPr>
                <w:sz w:val="20"/>
                <w:szCs w:val="20"/>
              </w:rPr>
            </w:pPr>
            <w:r w:rsidRPr="00F709FC">
              <w:rPr>
                <w:sz w:val="20"/>
                <w:szCs w:val="20"/>
              </w:rPr>
              <w:t>1000s</w:t>
            </w:r>
          </w:p>
        </w:tc>
        <w:tc>
          <w:tcPr>
            <w:tcW w:w="1512" w:type="dxa"/>
            <w:vAlign w:val="center"/>
          </w:tcPr>
          <w:p w:rsidR="007E7BBD" w:rsidRPr="00F709FC" w:rsidRDefault="007E7BBD" w:rsidP="00D31C06">
            <w:pPr>
              <w:pStyle w:val="Tabletext"/>
              <w:rPr>
                <w:sz w:val="20"/>
                <w:szCs w:val="20"/>
              </w:rPr>
            </w:pPr>
            <w:r w:rsidRPr="00F709FC">
              <w:rPr>
                <w:sz w:val="20"/>
                <w:szCs w:val="20"/>
              </w:rPr>
              <w:t>1000s</w:t>
            </w:r>
          </w:p>
        </w:tc>
        <w:tc>
          <w:tcPr>
            <w:tcW w:w="1512" w:type="dxa"/>
            <w:vAlign w:val="center"/>
          </w:tcPr>
          <w:p w:rsidR="007E7BBD" w:rsidRPr="00F709FC" w:rsidRDefault="007E7BBD" w:rsidP="00D31C06">
            <w:pPr>
              <w:pStyle w:val="Tabletext"/>
              <w:rPr>
                <w:sz w:val="20"/>
                <w:szCs w:val="20"/>
              </w:rPr>
            </w:pPr>
            <w:r w:rsidRPr="00F709FC">
              <w:rPr>
                <w:sz w:val="20"/>
                <w:szCs w:val="20"/>
              </w:rPr>
              <w:t>1000s</w:t>
            </w:r>
          </w:p>
        </w:tc>
        <w:tc>
          <w:tcPr>
            <w:tcW w:w="1512" w:type="dxa"/>
            <w:vAlign w:val="center"/>
          </w:tcPr>
          <w:p w:rsidR="007E7BBD" w:rsidRPr="00F709FC" w:rsidRDefault="007E7BBD" w:rsidP="00D31C06">
            <w:pPr>
              <w:pStyle w:val="Tabletext"/>
              <w:rPr>
                <w:sz w:val="20"/>
                <w:szCs w:val="20"/>
              </w:rPr>
            </w:pPr>
            <w:r w:rsidRPr="00F709FC">
              <w:rPr>
                <w:sz w:val="20"/>
                <w:szCs w:val="20"/>
              </w:rPr>
              <w:t>1000s</w:t>
            </w:r>
          </w:p>
        </w:tc>
      </w:tr>
      <w:tr w:rsidR="007E7BBD" w:rsidRPr="004A2A4D" w:rsidTr="00D31C06">
        <w:trPr>
          <w:trHeight w:val="720"/>
        </w:trPr>
        <w:tc>
          <w:tcPr>
            <w:tcW w:w="1512" w:type="dxa"/>
            <w:vAlign w:val="center"/>
          </w:tcPr>
          <w:p w:rsidR="007E7BBD" w:rsidRPr="00F709FC" w:rsidRDefault="007E7BBD" w:rsidP="00D31C06">
            <w:pPr>
              <w:pStyle w:val="Tabletext"/>
              <w:rPr>
                <w:b/>
                <w:sz w:val="20"/>
                <w:szCs w:val="20"/>
              </w:rPr>
            </w:pPr>
            <w:r w:rsidRPr="00F709FC">
              <w:rPr>
                <w:b/>
                <w:sz w:val="20"/>
                <w:szCs w:val="20"/>
              </w:rPr>
              <w:t>Spatial resolution</w:t>
            </w:r>
          </w:p>
        </w:tc>
        <w:tc>
          <w:tcPr>
            <w:tcW w:w="1512" w:type="dxa"/>
            <w:vAlign w:val="center"/>
          </w:tcPr>
          <w:p w:rsidR="007E7BBD" w:rsidRPr="00F709FC" w:rsidRDefault="007E7BBD" w:rsidP="00D31C06">
            <w:pPr>
              <w:pStyle w:val="Tabletext"/>
              <w:rPr>
                <w:sz w:val="20"/>
                <w:szCs w:val="20"/>
              </w:rPr>
            </w:pPr>
            <w:r w:rsidRPr="00F709FC">
              <w:rPr>
                <w:sz w:val="20"/>
                <w:szCs w:val="20"/>
              </w:rPr>
              <w:t>Single value per electrode</w:t>
            </w:r>
            <w:r>
              <w:rPr>
                <w:sz w:val="20"/>
                <w:szCs w:val="20"/>
                <w:vertAlign w:val="superscript"/>
              </w:rPr>
              <w:t>l</w:t>
            </w:r>
          </w:p>
        </w:tc>
        <w:tc>
          <w:tcPr>
            <w:tcW w:w="1512" w:type="dxa"/>
            <w:vAlign w:val="center"/>
          </w:tcPr>
          <w:p w:rsidR="007E7BBD" w:rsidRPr="00F709FC" w:rsidRDefault="007E7BBD" w:rsidP="00D31C06">
            <w:pPr>
              <w:pStyle w:val="Tabletext"/>
              <w:rPr>
                <w:sz w:val="20"/>
                <w:szCs w:val="20"/>
              </w:rPr>
            </w:pPr>
            <w:r w:rsidRPr="00F709FC">
              <w:rPr>
                <w:sz w:val="20"/>
                <w:szCs w:val="20"/>
              </w:rPr>
              <w:t>Subcellular</w:t>
            </w:r>
          </w:p>
        </w:tc>
        <w:tc>
          <w:tcPr>
            <w:tcW w:w="1512" w:type="dxa"/>
            <w:vAlign w:val="center"/>
          </w:tcPr>
          <w:p w:rsidR="007E7BBD" w:rsidRPr="00F709FC" w:rsidRDefault="007E7BBD" w:rsidP="00D31C06">
            <w:pPr>
              <w:pStyle w:val="Tabletext"/>
              <w:rPr>
                <w:sz w:val="20"/>
                <w:szCs w:val="20"/>
              </w:rPr>
            </w:pPr>
            <w:r w:rsidRPr="00F709FC">
              <w:rPr>
                <w:sz w:val="20"/>
                <w:szCs w:val="20"/>
              </w:rPr>
              <w:t>Subcellular</w:t>
            </w:r>
          </w:p>
        </w:tc>
        <w:tc>
          <w:tcPr>
            <w:tcW w:w="1512" w:type="dxa"/>
            <w:vAlign w:val="center"/>
          </w:tcPr>
          <w:p w:rsidR="007E7BBD" w:rsidRPr="00F709FC" w:rsidRDefault="007E7BBD" w:rsidP="00D31C06">
            <w:pPr>
              <w:pStyle w:val="Tabletext"/>
              <w:rPr>
                <w:sz w:val="20"/>
                <w:szCs w:val="20"/>
              </w:rPr>
            </w:pPr>
            <w:r>
              <w:rPr>
                <w:sz w:val="20"/>
                <w:szCs w:val="20"/>
              </w:rPr>
              <w:t>Subcellular</w:t>
            </w:r>
          </w:p>
        </w:tc>
        <w:tc>
          <w:tcPr>
            <w:tcW w:w="1512" w:type="dxa"/>
            <w:vAlign w:val="center"/>
          </w:tcPr>
          <w:p w:rsidR="007E7BBD" w:rsidRPr="00F709FC" w:rsidRDefault="007E7BBD" w:rsidP="00D31C06">
            <w:pPr>
              <w:pStyle w:val="Tabletext"/>
              <w:rPr>
                <w:sz w:val="20"/>
                <w:szCs w:val="20"/>
              </w:rPr>
            </w:pPr>
            <w:r w:rsidRPr="00F709FC">
              <w:rPr>
                <w:sz w:val="20"/>
                <w:szCs w:val="20"/>
              </w:rPr>
              <w:t>Single value per laser path</w:t>
            </w:r>
            <w:r>
              <w:rPr>
                <w:sz w:val="20"/>
                <w:szCs w:val="20"/>
                <w:vertAlign w:val="superscript"/>
              </w:rPr>
              <w:t>m</w:t>
            </w:r>
          </w:p>
        </w:tc>
        <w:tc>
          <w:tcPr>
            <w:tcW w:w="1512" w:type="dxa"/>
            <w:vAlign w:val="center"/>
          </w:tcPr>
          <w:p w:rsidR="007E7BBD" w:rsidRPr="00F709FC" w:rsidRDefault="007E7BBD" w:rsidP="00D31C06">
            <w:pPr>
              <w:pStyle w:val="Tabletext"/>
              <w:rPr>
                <w:sz w:val="20"/>
                <w:szCs w:val="20"/>
              </w:rPr>
            </w:pPr>
            <w:r w:rsidRPr="00F709FC">
              <w:rPr>
                <w:sz w:val="20"/>
                <w:szCs w:val="20"/>
              </w:rPr>
              <w:t>Single cell</w:t>
            </w:r>
            <w:r>
              <w:rPr>
                <w:sz w:val="20"/>
                <w:szCs w:val="20"/>
                <w:vertAlign w:val="superscript"/>
              </w:rPr>
              <w:t>n</w:t>
            </w:r>
          </w:p>
        </w:tc>
      </w:tr>
    </w:tbl>
    <w:p w:rsidR="007E7BBD" w:rsidRPr="001F6685" w:rsidRDefault="007E7BBD" w:rsidP="007E7BBD">
      <w:pPr>
        <w:pStyle w:val="Textnoindent"/>
      </w:pPr>
      <w:r w:rsidRPr="001F6685">
        <w:rPr>
          <w:vertAlign w:val="superscript"/>
        </w:rPr>
        <w:t>a</w:t>
      </w:r>
      <w:r w:rsidRPr="001F6685">
        <w:t xml:space="preserve">Measurements vary too much to be converted to absolute voltage or interpreted across populations of cells. This variability is attributable to </w:t>
      </w:r>
      <w:r>
        <w:t>numerous</w:t>
      </w:r>
      <w:r w:rsidRPr="001F6685">
        <w:t xml:space="preserve"> confounding factors</w:t>
      </w:r>
      <w:r>
        <w:t xml:space="preserve">, including </w:t>
      </w:r>
      <w:r w:rsidRPr="001F6685">
        <w:t xml:space="preserve">dye loading, photobleaching, </w:t>
      </w:r>
      <w:r>
        <w:t xml:space="preserve">and sample movement </w:t>
      </w:r>
      <w:r>
        <w:fldChar w:fldCharType="begin" w:fldLock="1"/>
      </w:r>
      <w:r>
        <w:instrText>ADDIN CSL_CITATION {"citationItems":[{"id":"ITEM-1","itemData":{"DOI":"10.1016/j.neuron.2010.12.010","ISSN":"1097-4199","PMID":"21220095","abstract":"In the last decades, imaging membrane potential has become a fruitful approach to study neural circuits, especially in invertebrate preparations with large, resilient neurons. At the same time, particularly in mammalian preparations, voltage imaging methods suffer from poor signal to noise and secondary side effects, and they fall short of providing single-cell resolution when imaging of the activity of neuronal populations. As an introduction to these techniques, we briefly review different voltage imaging methods (including organic fluorophores, SHG chromophores, genetic indicators, hybrid, nanoparticles, and intrinsic approaches) and illustrate some of their applications to neuronal biophysics and mammalian circuit analysis. We discuss their mechanisms of voltage sensitivity, from reorientation, electrochromic, or electro-optical phenomena to interaction among chromophores or membrane scattering, and highlight their advantages and shortcomings, commenting on the outlook for development of novel voltage imaging methods. © 2011 Elsevier Inc.","author":[{"dropping-particle":"","family":"Peterka","given":"Darcy S.","non-dropping-particle":"","parse-names":false,"suffix":""},{"dropping-particle":"","family":"Takahashi","given":"Hiroto","non-dropping-particle":"","parse-names":false,"suffix":""},{"dropping-particle":"","family":"Yuste","given":"Rafael","non-dropping-particle":"","parse-names":false,"suffix":""}],"container-title":"Neuron","id":"ITEM-1","issue":"1","issued":{"date-parts":[["2011","1","13"]]},"page":"9-21","publisher":"Elsevier Inc.","title":"Imaging voltage in neurons","type":"article-journal","volume":"69"},"uris":["http://www.mendeley.com/documents/?uuid=bcc3f158-54bc-48b9-9f4f-6f9a7a11f391"]}],"mendeley":{"formattedCitation":"&lt;sup&gt;9&lt;/sup&gt;","plainTextFormattedCitation":"9","previouslyFormattedCitation":"&lt;sup&gt;9&lt;/sup&gt;"},"properties":{"noteIndex":0},"schema":"https://github.com/citation-style-language/schema/raw/master/csl-citation.json"}</w:instrText>
      </w:r>
      <w:r>
        <w:fldChar w:fldCharType="separate"/>
      </w:r>
      <w:r w:rsidRPr="00BB32BE">
        <w:rPr>
          <w:noProof/>
          <w:vertAlign w:val="superscript"/>
        </w:rPr>
        <w:t>9</w:t>
      </w:r>
      <w:r>
        <w:fldChar w:fldCharType="end"/>
      </w:r>
      <w:r>
        <w:t>.</w:t>
      </w:r>
    </w:p>
    <w:p w:rsidR="007E7BBD" w:rsidRPr="001F6685" w:rsidRDefault="007E7BBD" w:rsidP="007E7BBD">
      <w:pPr>
        <w:pStyle w:val="Textnoindent"/>
      </w:pPr>
      <w:r w:rsidRPr="001F6685">
        <w:rPr>
          <w:vertAlign w:val="superscript"/>
        </w:rPr>
        <w:t>b</w:t>
      </w:r>
      <w:r w:rsidRPr="001F6685">
        <w:t>While in principle less variable tha</w:t>
      </w:r>
      <w:r>
        <w:t>n</w:t>
      </w:r>
      <w:r w:rsidRPr="001F6685">
        <w:t xml:space="preserve"> a single-color fluorescence intensity me</w:t>
      </w:r>
      <w:bookmarkStart w:id="0" w:name="_GoBack"/>
      <w:bookmarkEnd w:id="0"/>
      <w:r w:rsidRPr="001F6685">
        <w:t xml:space="preserve">asurement, </w:t>
      </w:r>
      <w:r>
        <w:t xml:space="preserve">in practice, </w:t>
      </w:r>
      <w:r w:rsidRPr="001F6685">
        <w:t>the signal depends strongly on the loading of two independent lipophilic indicators</w:t>
      </w:r>
      <w:r>
        <w:t xml:space="preserve"> </w:t>
      </w:r>
      <w:r>
        <w:fldChar w:fldCharType="begin" w:fldLock="1"/>
      </w:r>
      <w:r>
        <w:instrText>ADDIN CSL_CITATION {"citationItems":[{"id":"ITEM-1","itemData":{"DOI":"10.1101/pdb.top067710","ISSN":"19403402","PMID":"22474653","abstract":"This overview provides the basic information needed to understand, choose, and use fluorescent bioelectricity reporters (FBRs), where bioelectricity is defined as cell processes that involve ions or ion flux. While traditional methods of measuring these characteristics are still valid and necessary, the utility of FBRs has facilitated measurement of these properties under circumstances that are not possible with microelectrodes. Specifically, these dyes can be used to achieve subcellular resolution, to measure many cells simultaneously in vivo, and to track bioelectric gradients over long time periods despite cell movements and divisions. This article covers the basic principles underlying the interpretation of the dye signals, describes essential steps for troubleshooting, optimizing data collection, analysis, and presentation, and provides compilations of information that are useful for choosing FBRs for particular projects.","author":[{"dropping-particle":"","family":"Adams","given":"Dany S.","non-dropping-particle":"","parse-names":false,"suffix":""},{"dropping-particle":"","family":"Levin","given":"Michael","non-dropping-particle":"","parse-names":false,"suffix":""}],"container-title":"Cold Spring Harbor Protocols","id":"ITEM-1","issue":"4","issued":{"date-parts":[["2012"]]},"page":"385-397","title":"General principles for measuring resting membrane potential and ion concentration using fluorescent bioelectricity reporters","type":"article-journal","volume":"7"},"uris":["http://www.mendeley.com/documents/?uuid=da7e036d-5c08-41e2-81ff-fbe5204d27b9"]},{"id":"ITEM-2","itemData":{"DOI":"10.1177/1087057107302113","ISSN":"10870571","PMID":"17517905","abstract":"Many high-throughput ion channel assays require the use of voltage-sensitive dyes to detect channel activity in the presence of test compounds. Dye systems employing Förster resonance energy transfer (FRET) between 2 membrane-bound dyes are advantageous in combining high sensitivity, relatively fast response, and ratiometric output. The most widely used FRET voltage dye system employs a coumarin fluorescence donor whose excitation spectrum is pH dependent. The authors have validated a new class of voltage-sensitive FRET donors based on a pyrene moiety. These dyes are significantly brighter than CC2-DMPE and are not pH sensitive in the physiological range. With the new dye system, the authors demonstrate a new high-throughput assay for the acid-sensing ion channel (ASIC) family. They also introduce a novel method for absolute calibration of voltage-sensitive dyes, simultaneously determining the resting membrane potential of a cell.","author":[{"dropping-particle":"","family":"Maher","given":"Michael P.","non-dropping-particle":"","parse-names":false,"suffix":""},{"dropping-particle":"","family":"Wu","given":"Nyan Tsz","non-dropping-particle":"","parse-names":false,"suffix":""},{"dropping-particle":"","family":"Ao","given":"Hong","non-dropping-particle":"","parse-names":false,"suffix":""}],"container-title":"Journal of Biomolecular Screening","id":"ITEM-2","issue":"5","issued":{"date-parts":[["2007"]]},"page":"656-667","title":"pH-insensitive FRET voltage dyes","type":"article-journal","volume":"12"},"uris":["http://www.mendeley.com/documents/?uuid=14c9370b-d88d-3164-bbf3-86024cf1facf"]}],"mendeley":{"formattedCitation":"&lt;sup&gt;13,80&lt;/sup&gt;","plainTextFormattedCitation":"13,80","previouslyFormattedCitation":"&lt;sup&gt;13,80&lt;/sup&gt;"},"properties":{"noteIndex":0},"schema":"https://github.com/citation-style-language/schema/raw/master/csl-citation.json"}</w:instrText>
      </w:r>
      <w:r>
        <w:fldChar w:fldCharType="separate"/>
      </w:r>
      <w:r w:rsidRPr="00DA7E6E">
        <w:rPr>
          <w:noProof/>
          <w:vertAlign w:val="superscript"/>
        </w:rPr>
        <w:t>13,80</w:t>
      </w:r>
      <w:r>
        <w:fldChar w:fldCharType="end"/>
      </w:r>
      <w:r>
        <w:t>, which can vary substantially</w:t>
      </w:r>
      <w:r w:rsidRPr="001F6685">
        <w:t>.</w:t>
      </w:r>
    </w:p>
    <w:p w:rsidR="007E7BBD" w:rsidRDefault="007E7BBD" w:rsidP="007E7BBD">
      <w:pPr>
        <w:pStyle w:val="Textnoindent"/>
        <w:rPr>
          <w:vertAlign w:val="superscript"/>
        </w:rPr>
      </w:pPr>
      <w:r>
        <w:rPr>
          <w:vertAlign w:val="superscript"/>
        </w:rPr>
        <w:t>c</w:t>
      </w:r>
      <w:r w:rsidRPr="00377D80">
        <w:t>ANEPPS</w:t>
      </w:r>
      <w:r>
        <w:t xml:space="preserve"> excitation ratios depend on a variety of non-voltage factors, in particular the membrane composition, leading to substantial artifacts in optical V</w:t>
      </w:r>
      <w:r w:rsidRPr="00377D80">
        <w:rPr>
          <w:vertAlign w:val="subscript"/>
        </w:rPr>
        <w:t>mem</w:t>
      </w:r>
      <w:r>
        <w:t xml:space="preserve"> determinations </w:t>
      </w:r>
      <w:r>
        <w:fldChar w:fldCharType="begin" w:fldLock="1"/>
      </w:r>
      <w:r>
        <w:instrText>ADDIN CSL_CITATION {"citationItems":[{"id":"ITEM-1","itemData":{"DOI":"10.1016/S0006-3495(94)80471-0","ISBN":"2036793568","ISSN":"00063495","PMID":"7918989","abstract":"The electrostatic potentials associated with cell membranes include the transmembrane potential (delta psi), the surface potential (psi s), and the dipole potential (psi D). psi D, which originates from oriented dipoles at the surface of the membrane, rises steeply just within the membrane to approximately 300 mV. Here we show that the potential-sensitive fluorescent dye 1-(3-sulfonatopropyl)-4-[beta[2-(di-n-octylamino)-6- naphthyl]vinyl]pyridinium betaine (di-8-ANEPPS) can be used to measure changes in the intramembrane dipole potential. Increasing the content of cholesterol and 6-ketocholestanol (KC), which are known to increase psi D in the bilayer, results in an increase in the ratio, R, of the dye fluorescence excited at 440 nm to that excited at 530 nm in a lipid vesicle suspension; increasing the content of phloretin, which lowers psi D, decreases R. Control experiments show that the ratio is insensitive to changes in the membrane's microviscosity. The lack of an isosbestic point in the fluorescence excitation and emission spectra of the dye at various concentrations of KC and phloretin argues against 1:1 chemical complexation between the dye and KC or phloretin. The macromolecular nonionic surfactant Pluronic F127 catalyzes the insertion of KC and phloretin into lipid vesicle and cell membranes, permitting convenient and controlled modulation of dipole potential. The sensitivity of R to psi D is 10-fold larger than to delta psi, whereas it is insensitive to changes in psi S. This can be understood in terms of the location of the dye chromophore with respect to the electric field profile associated with each of these potentials. These results suggest that the gradient in dipole potential occurs over a span s5 A, a short distance below the membrane-water interface. These approaches are easily adaptable to study the influence of dipole potentials on cell membrane physiology.","author":[{"dropping-particle":"","family":"Gross","given":"E","non-dropping-particle":"","parse-names":false,"suffix":""},{"dropping-particle":"","family":"Bedlack","given":"R S","non-dropping-particle":"","parse-names":false,"suffix":""},{"dropping-particle":"","family":"Loew","given":"L M","non-dropping-particle":"","parse-names":false,"suffix":""}],"container-title":"Biophysical journal","id":"ITEM-1","issue":"1","issued":{"date-parts":[["1994"]]},"page":"208-216","publisher":"Elsevier","title":"Dual-wavelength ratiometric fluorescence measurement of the membrane dipole potential.","type":"article-journal","volume":"67"},"uris":["http://www.mendeley.com/documents/?uuid=6334e02c-5047-4d60-9332-d7f6eb294edb"]},{"id":"ITEM-2","itemData":{"DOI":"10.1016/S0006-3495(98)77765-3","ISSN":"00063495","abstract":"An experimental method has been established to measure the electric properties of a cell membrane by combination of patch clamp and dual- wavelength ratio imaging of a fluorescent potentiometric dye, 1-(3- sulfonatopropyl)-4-[β[2-(di-n-octylamino)-6-naphthyl]vinyl]pyridinium betaine (di-8-ANEPPS). Pairs of fluorescence images from the dye-stained membrane of neuroblastoma N1E-115 cells excited at two wavelengths were initially obtained to calculate ratio images corresponding to the resting transmembrane potential. Subsequently, a whole-cell patch was established and the membrane potential clamped to levels varying from - 100 to + 60 mV; at each voltage, a pair of dual-wavelength images were acquired to develop a calibration of the fluorescence ratio. Using this method, the resting potentials could accurately be measured showing that the differentiated cells were 17 mV more polarized than undifferentiated cells. The combination of electrical and optical methods can also follow changes in other membrane electric properties, such as dipole potential, and thus permit a detailed analysis of the membrane electrical properties underlying the voltage regulation of ion channels.","author":[{"dropping-particle":"","family":"Zhang","given":"Jing","non-dropping-particle":"","parse-names":false,"suffix":""},{"dropping-particle":"","family":"Davidson","given":"Robert M.","non-dropping-particle":"","parse-names":false,"suffix":""},{"dropping-particle":"De","family":"Wei","given":"Mei","non-dropping-particle":"","parse-names":false,"suffix":""},{"dropping-particle":"","family":"Loew","given":"Leslie M.","non-dropping-particle":"","parse-names":false,"suffix":""}],"container-title":"Biophysical Journal","id":"ITEM-2","issue":"1","issued":{"date-parts":[["1998"]]},"page":"48-53","title":"Membrane electric properties by combined patch clamp and fluorescence ratio imaging in single neurons","type":"article-journal","volume":"74"},"uris":["http://www.mendeley.com/documents/?uuid=b2f9fe1c-55ee-483e-aa62-4a68a67e6f10"]}],"mendeley":{"formattedCitation":"&lt;sup&gt;16,17&lt;/sup&gt;","plainTextFormattedCitation":"16,17","previouslyFormattedCitation":"&lt;sup&gt;16,17&lt;/sup&gt;"},"properties":{"noteIndex":0},"schema":"https://github.com/citation-style-language/schema/raw/master/csl-citation.json"}</w:instrText>
      </w:r>
      <w:r>
        <w:fldChar w:fldCharType="separate"/>
      </w:r>
      <w:r w:rsidRPr="00DA7E6E">
        <w:rPr>
          <w:noProof/>
          <w:vertAlign w:val="superscript"/>
        </w:rPr>
        <w:t>16,17</w:t>
      </w:r>
      <w:r>
        <w:fldChar w:fldCharType="end"/>
      </w:r>
      <w:r>
        <w:t>.</w:t>
      </w:r>
    </w:p>
    <w:p w:rsidR="007E7BBD" w:rsidRPr="001F6685" w:rsidRDefault="007E7BBD" w:rsidP="007E7BBD">
      <w:pPr>
        <w:pStyle w:val="Textnoindent"/>
      </w:pPr>
      <w:r>
        <w:rPr>
          <w:vertAlign w:val="superscript"/>
        </w:rPr>
        <w:lastRenderedPageBreak/>
        <w:t>d</w:t>
      </w:r>
      <w:r>
        <w:t xml:space="preserve">With the GEVI CAESR in our hands, apparently poor </w:t>
      </w:r>
      <w:r w:rsidRPr="001F6685">
        <w:t xml:space="preserve">protein trafficking </w:t>
      </w:r>
      <w:r>
        <w:t>produces</w:t>
      </w:r>
      <w:r w:rsidRPr="001F6685">
        <w:t xml:space="preserve"> large amounts of non-voltage-sensitive signal, which contaminates the FLIM recording</w:t>
      </w:r>
      <w:r>
        <w:t xml:space="preserve"> and contributes to high cell to cell variability</w:t>
      </w:r>
      <w:r w:rsidRPr="001F6685">
        <w:t xml:space="preserve"> (</w:t>
      </w:r>
      <w:hyperlink w:anchor="_Fig._1,_S5." w:history="1">
        <w:r w:rsidRPr="000D77A0">
          <w:rPr>
            <w:rStyle w:val="Hyperlink"/>
          </w:rPr>
          <w:t xml:space="preserve">Fig. 1-supplement </w:t>
        </w:r>
        <w:r>
          <w:rPr>
            <w:rStyle w:val="Hyperlink"/>
          </w:rPr>
          <w:t>6</w:t>
        </w:r>
      </w:hyperlink>
      <w:r>
        <w:rPr>
          <w:b/>
        </w:rPr>
        <w:t xml:space="preserve">, </w:t>
      </w:r>
      <w:hyperlink w:anchor="_Resolution_of_VF-FLIM" w:history="1">
        <w:r w:rsidRPr="000D77A0">
          <w:rPr>
            <w:rStyle w:val="Hyperlink"/>
          </w:rPr>
          <w:t>Methods</w:t>
        </w:r>
      </w:hyperlink>
      <w:r w:rsidRPr="001F6685">
        <w:t>).</w:t>
      </w:r>
    </w:p>
    <w:p w:rsidR="007E7BBD" w:rsidRPr="001F6685" w:rsidRDefault="007E7BBD" w:rsidP="007E7BBD">
      <w:pPr>
        <w:pStyle w:val="Textnoindent"/>
      </w:pPr>
      <w:r>
        <w:rPr>
          <w:vertAlign w:val="superscript"/>
        </w:rPr>
        <w:t>e</w:t>
      </w:r>
      <w:r w:rsidRPr="001F6685">
        <w:t>Patch-clamp electrophysiology requires physical contact with the cell of interest, which causes damage to the cell and, in whole cell configurations, wa</w:t>
      </w:r>
      <w:r>
        <w:t>shout of intracellular factors. Slight movement of the cell or sample generally result in loss of the patch.</w:t>
      </w:r>
    </w:p>
    <w:p w:rsidR="007E7BBD" w:rsidRPr="001F6685" w:rsidRDefault="007E7BBD" w:rsidP="007E7BBD">
      <w:pPr>
        <w:pStyle w:val="Textnoindent"/>
      </w:pPr>
      <w:r>
        <w:rPr>
          <w:vertAlign w:val="superscript"/>
        </w:rPr>
        <w:t>f</w:t>
      </w:r>
      <w:r>
        <w:t>Movement of the cell and photobleaching of the dye both cause large changes to the signal over seconds to minutes.</w:t>
      </w:r>
    </w:p>
    <w:p w:rsidR="007E7BBD" w:rsidRPr="001F6685" w:rsidRDefault="007E7BBD" w:rsidP="007E7BBD">
      <w:pPr>
        <w:pStyle w:val="Textnoindent"/>
      </w:pPr>
      <w:r>
        <w:rPr>
          <w:vertAlign w:val="superscript"/>
        </w:rPr>
        <w:t>g</w:t>
      </w:r>
      <w:r>
        <w:t>Ratio-calibrated imaging approaches use a second signal (usually another color of fluorescence) to correct for differences in dye concentration or changes in the region of interest that contaminate single-color intensity signals. If the rate of photobleaching is the same for both components, photobleaching artifacts can also be avoided.</w:t>
      </w:r>
    </w:p>
    <w:p w:rsidR="007E7BBD" w:rsidRDefault="007E7BBD" w:rsidP="007E7BBD">
      <w:pPr>
        <w:pStyle w:val="Textnoindent"/>
      </w:pPr>
      <w:r>
        <w:rPr>
          <w:vertAlign w:val="superscript"/>
        </w:rPr>
        <w:t>h</w:t>
      </w:r>
      <w:r>
        <w:t xml:space="preserve">Limited by photon count rates. </w:t>
      </w:r>
    </w:p>
    <w:p w:rsidR="007E7BBD" w:rsidRDefault="007E7BBD" w:rsidP="007E7BBD">
      <w:pPr>
        <w:pStyle w:val="Textnoindent"/>
      </w:pPr>
      <w:r w:rsidRPr="00377D80">
        <w:rPr>
          <w:vertAlign w:val="superscript"/>
        </w:rPr>
        <w:t>i</w:t>
      </w:r>
      <w:r>
        <w:t xml:space="preserve">Limited by probe movement in the membrane, which depends mostly on lipophilicity </w:t>
      </w:r>
      <w:r>
        <w:fldChar w:fldCharType="begin" w:fldLock="1"/>
      </w:r>
      <w:r>
        <w:instrText>ADDIN CSL_CITATION {"citationItems":[{"id":"ITEM-1","itemData":{"DOI":"10.1007/978-1-4419-6558-5_6","abstract":"Fluorescence resonance energy transfer (FRET) is a physical dipole-dipole coupling between the excited state of a donor fluorophore and an acceptor chromophore that causes relaxation of the donor to a non-fluorescent ground state, which excites fluorescence in the acceptor. Initially described by Förster (1948), FRET has been extensively reviewed (Stryer 1978; Clegg 1995; Selvin 2000; Lakowicz 2006). In practical terms, the efficiency of FRET depends on the properties of the chromophores and the distance between them, measured as the Förster radius (R o): the distance between the donor and the acceptor at which half the energy is transferred. The magnitude of R o depends on the donor quantum yield and the spectral overlap between the donor emission and the acceptor absorbance spectra. For commonly used synthetic FRET pairs, R o values range from 2 to 8 nm (Wu and Brand 1994). FRET efficiency is inversely proportional to the sixth power of the donor and acceptor distance, providing a sensitive readout of intermolecular distances near R o. Experimentally, FRET is measured either as the decrease in the lifetime or intensity of donor fluorescence after the addition of acceptor, or as the increase in acceptor fluorescence after the addition of donor. Because typical R o values are similar to protein and membrane dimensions, FRET has proven useful in a wide variety of biochemical and cellular applications to investigate protein-protein interactions , protein and DNA conformational analysis, and membrane topography (Stryer 1978; Clegg 1995; Selvin 2000; Lakowicz 2006). Furthermore, with the advent of a large variety of fluorescent protein color variants, FRET has become a natural method to probe cellular biochemistry (Piston and Kremers 2007). Here, we review how FRET probes have been used to measure cellular membrane potentials. Voltage-sensitive dyes (VSDs) based upon FRET are composed of two molecules, with either the donor or acceptor being a hydrophobic anion introduced into the plasma membrane acting as the voltage sensor by translocating between the energy minima at the intracellular and extracellular membrane-water interfaces (Fig. 6.1A) (Gonzalez and Tsien 1995). When the transmembrane potential changes, the hydrophobic anion redistributes as an exponential function of the potential according to the Nernst equation. A second impermeant fluorophore is attached to one face of the membrane where it can undergo FRET with the mobile molecule, in proportion…","author":[{"dropping-particle":"","family":"Briggman","given":"Kevin L","non-dropping-particle":"","parse-names":false,"suffix":""},{"dropping-particle":"","family":"Kristan","given":"William B","non-dropping-particle":"","parse-names":false,"suffix":""},{"dropping-particle":"","family":"González","given":"Jesús E","non-dropping-particle":"","parse-names":false,"suffix":""},{"dropping-particle":"","family":"Kleinfeld","given":"David","non-dropping-particle":"","parse-names":false,"suffix":""},{"dropping-particle":"","family":"Tsien","given":"Roger Y","non-dropping-particle":"","parse-names":false,"suffix":""}],"container-title":"Membrane Potential Imaging in the Nervous System: Methods and Applications","id":"ITEM-1","issued":{"date-parts":[["2010"]]},"page":"61-70","title":"Monitoring integrated activity of individual neurons using FRET-based voltage-sensitive dyes","type":"chapter"},"uris":["http://www.mendeley.com/documents/?uuid=b7751a6c-3e7f-3c0e-b8f9-aed4023b3040"]}],"mendeley":{"formattedCitation":"&lt;sup&gt;12&lt;/sup&gt;","plainTextFormattedCitation":"12","previouslyFormattedCitation":"&lt;sup&gt;12&lt;/sup&gt;"},"properties":{"noteIndex":0},"schema":"https://github.com/citation-style-language/schema/raw/master/csl-citation.json"}</w:instrText>
      </w:r>
      <w:r>
        <w:fldChar w:fldCharType="separate"/>
      </w:r>
      <w:r w:rsidRPr="00DA7E6E">
        <w:rPr>
          <w:noProof/>
          <w:vertAlign w:val="superscript"/>
        </w:rPr>
        <w:t>12</w:t>
      </w:r>
      <w:r>
        <w:fldChar w:fldCharType="end"/>
      </w:r>
      <w:r>
        <w:t>.</w:t>
      </w:r>
    </w:p>
    <w:p w:rsidR="007E7BBD" w:rsidRDefault="007E7BBD" w:rsidP="007E7BBD">
      <w:pPr>
        <w:pStyle w:val="Textnoindent"/>
      </w:pPr>
      <w:r>
        <w:rPr>
          <w:vertAlign w:val="superscript"/>
        </w:rPr>
        <w:t>j</w:t>
      </w:r>
      <w:r>
        <w:t>Photon counting based lifetime imaging, like epifluorescence intensity imaging, is limited by photon count rates. Large numbers of photons per pixel must be collected to fit TCSPC FLIM data, often using a line scanning confocal approach, leading to slower acquisition speeds than epifluorescence-based intensity imaging.</w:t>
      </w:r>
    </w:p>
    <w:p w:rsidR="007E7BBD" w:rsidRDefault="007E7BBD" w:rsidP="007E7BBD">
      <w:pPr>
        <w:pStyle w:val="Textnoindent"/>
      </w:pPr>
      <w:r>
        <w:rPr>
          <w:vertAlign w:val="superscript"/>
        </w:rPr>
        <w:t>k</w:t>
      </w:r>
      <w:r>
        <w:t xml:space="preserve">Toxicity from capacitive load of the sensor </w:t>
      </w:r>
      <w:r>
        <w:fldChar w:fldCharType="begin" w:fldLock="1"/>
      </w:r>
      <w:r>
        <w:instrText>ADDIN CSL_CITATION {"citationItems":[{"id":"ITEM-1","itemData":{"DOI":"10.1007/978-1-4419-6558-5_6","abstract":"Fluorescence resonance energy transfer (FRET) is a physical dipole-dipole coupling between the excited state of a donor fluorophore and an acceptor chromophore that causes relaxation of the donor to a non-fluorescent ground state, which excites fluorescence in the acceptor. Initially described by Förster (1948), FRET has been extensively reviewed (Stryer 1978; Clegg 1995; Selvin 2000; Lakowicz 2006). In practical terms, the efficiency of FRET depends on the properties of the chromophores and the distance between them, measured as the Förster radius (R o): the distance between the donor and the acceptor at which half the energy is transferred. The magnitude of R o depends on the donor quantum yield and the spectral overlap between the donor emission and the acceptor absorbance spectra. For commonly used synthetic FRET pairs, R o values range from 2 to 8 nm (Wu and Brand 1994). FRET efficiency is inversely proportional to the sixth power of the donor and acceptor distance, providing a sensitive readout of intermolecular distances near R o. Experimentally, FRET is measured either as the decrease in the lifetime or intensity of donor fluorescence after the addition of acceptor, or as the increase in acceptor fluorescence after the addition of donor. Because typical R o values are similar to protein and membrane dimensions, FRET has proven useful in a wide variety of biochemical and cellular applications to investigate protein-protein interactions , protein and DNA conformational analysis, and membrane topography (Stryer 1978; Clegg 1995; Selvin 2000; Lakowicz 2006). Furthermore, with the advent of a large variety of fluorescent protein color variants, FRET has become a natural method to probe cellular biochemistry (Piston and Kremers 2007). Here, we review how FRET probes have been used to measure cellular membrane potentials. Voltage-sensitive dyes (VSDs) based upon FRET are composed of two molecules, with either the donor or acceptor being a hydrophobic anion introduced into the plasma membrane acting as the voltage sensor by translocating between the energy minima at the intracellular and extracellular membrane-water interfaces (Fig. 6.1A) (Gonzalez and Tsien 1995). When the transmembrane potential changes, the hydrophobic anion redistributes as an exponential function of the potential according to the Nernst equation. A second impermeant fluorophore is attached to one face of the membrane where it can undergo FRET with the mobile molecule, in proportion…","author":[{"dropping-particle":"","family":"Briggman","given":"Kevin L","non-dropping-particle":"","parse-names":false,"suffix":""},{"dropping-particle":"","family":"Kristan","given":"William B","non-dropping-particle":"","parse-names":false,"suffix":""},{"dropping-particle":"","family":"González","given":"Jesús E","non-dropping-particle":"","parse-names":false,"suffix":""},{"dropping-particle":"","family":"Kleinfeld","given":"David","non-dropping-particle":"","parse-names":false,"suffix":""},{"dropping-particle":"","family":"Tsien","given":"Roger Y","non-dropping-particle":"","parse-names":false,"suffix":""}],"container-title":"Membrane Potential Imaging in the Nervous System: Methods and Applications","id":"ITEM-1","issued":{"date-parts":[["2010"]]},"page":"61-70","title":"Monitoring integrated activity of individual neurons using FRET-based voltage-sensitive dyes","type":"chapter"},"uris":["http://www.mendeley.com/documents/?uuid=b7751a6c-3e7f-3c0e-b8f9-aed4023b3040"]}],"mendeley":{"formattedCitation":"&lt;sup&gt;12&lt;/sup&gt;","plainTextFormattedCitation":"12","previouslyFormattedCitation":"&lt;sup&gt;12&lt;/sup&gt;"},"properties":{"noteIndex":0},"schema":"https://github.com/citation-style-language/schema/raw/master/csl-citation.json"}</w:instrText>
      </w:r>
      <w:r>
        <w:fldChar w:fldCharType="separate"/>
      </w:r>
      <w:r w:rsidRPr="00DA7E6E">
        <w:rPr>
          <w:noProof/>
          <w:vertAlign w:val="superscript"/>
        </w:rPr>
        <w:t>12</w:t>
      </w:r>
      <w:r>
        <w:fldChar w:fldCharType="end"/>
      </w:r>
      <w:r>
        <w:t>.</w:t>
      </w:r>
    </w:p>
    <w:p w:rsidR="007E7BBD" w:rsidRDefault="007E7BBD" w:rsidP="007E7BBD">
      <w:pPr>
        <w:pStyle w:val="Textnoindent"/>
      </w:pPr>
      <w:r w:rsidRPr="00377D80">
        <w:rPr>
          <w:vertAlign w:val="superscript"/>
        </w:rPr>
        <w:t>l</w:t>
      </w:r>
      <w:r>
        <w:t>The spatial resolution of electrophysiology is compromised by space clamp error, preventing interpretation of V</w:t>
      </w:r>
      <w:r w:rsidRPr="00AA3D2A">
        <w:rPr>
          <w:vertAlign w:val="subscript"/>
        </w:rPr>
        <w:t>mem</w:t>
      </w:r>
      <w:r>
        <w:t xml:space="preserve"> in regions far from the electrode (e.g. many neuronal processes) </w:t>
      </w:r>
      <w:r>
        <w:fldChar w:fldCharType="begin" w:fldLock="1"/>
      </w:r>
      <w:r>
        <w:instrText>ADDIN CSL_CITATION {"citationItems":[{"id":"ITEM-1","itemData":{"DOI":"10.1038/nn.2137","ISBN":"1097-6256 (Print)\\r1097-6256 (Linking)","ISSN":"10976256","PMID":"18552844","abstract":"The somatic voltage clamp technique has revolutionized understanding of synaptic physiology and the excitability of neurons. Although computer simulations have indicated that the somatic voltage clamp poorly controls voltage in the dendritic tree of neurons, where the majority of synaptic contacts are made, there has not been an experimental description of the performance of the somatic voltage clamp. Here, we directly quantify errors in the measurement of dendritic synaptic input by the somatic voltage clamp using simultaneous whole-cell recordings from the soma and apical dendrite of rat neocortical pyramidal neurons. The somatic voltage clamp did not control voltage at sites other than the soma and distorted measurement of the amplitude, kinetics, slope conductance and reversal potential of synaptic inputs in a dendritic distance-dependent manner. These errors question the use of the somatic voltage clamp as a quantitative tool in dendritic neurons.","author":[{"dropping-particle":"","family":"Williams","given":"Stephen R.","non-dropping-particle":"","parse-names":false,"suffix":""},{"dropping-particle":"","family":"Mitchell","given":"Simon J.","non-dropping-particle":"","parse-names":false,"suffix":""}],"container-title":"Nature Neuroscience","id":"ITEM-1","issue":"7","issued":{"date-parts":[["2008"]]},"page":"790-798","title":"Direct measurement of somatic voltage clamp errors in central neurons","type":"article-journal","volume":"11"},"uris":["http://www.mendeley.com/documents/?uuid=34776747-3550-42ae-83a2-297f637e6e88"]},{"id":"ITEM-2","itemData":{"DOI":"10.1016/0076-6879(92)07007-B","ISBN":"9780121821081","ISSN":"15577988","PMID":"1528114","abstract":"Without proper compensation for series resistance and demonstration of a good space clamp, all measurements of membrane current are qualitative. This chapter discusses the impediments that have harried investigators since the first development of the voltage clamp. The illustrations provided in the chapter refer to several significant points: (1) spatial uniformity of voltage under resting conditions does not imply spatial uniformity in the active cell, (2) steady-state uniformity of voltage does not imply uniformity after a quick change of voltage, and (3) measured current in the absence of voltage uniformity bears no resemblance to the current from a well space-clamped cell. The chapter concludes that interpretation of voltage clamp data—where adequate space clamping is impossible—is extremely difficult unless the membrane is passive and uniform in its properties and the geometry is simple. © 1992, Elsevier Inc. All rights reserved.","author":[{"dropping-particle":"","family":"Armstrong","given":"Clay M.","non-dropping-particle":"","parse-names":false,"suffix":""},{"dropping-particle":"","family":"Gilly","given":"William F.","non-dropping-particle":"","parse-names":false,"suffix":""}],"container-title":"Methods in Enzymology","id":"ITEM-2","issued":{"date-parts":[["1992"]]},"page":"100-122","title":"Access resistance and space clamp problems associated with whole-cell patch clamping","type":"article-journal","volume":"207"},"uris":["http://www.mendeley.com/documents/?uuid=fc57a392-db43-4e5f-a89b-600a26fa82ca"]}],"mendeley":{"formattedCitation":"&lt;sup&gt;35,36&lt;/sup&gt;","plainTextFormattedCitation":"35,36","previouslyFormattedCitation":"&lt;sup&gt;35,36&lt;/sup&gt;"},"properties":{"noteIndex":0},"schema":"https://github.com/citation-style-language/schema/raw/master/csl-citation.json"}</w:instrText>
      </w:r>
      <w:r>
        <w:fldChar w:fldCharType="separate"/>
      </w:r>
      <w:r w:rsidRPr="00DA7E6E">
        <w:rPr>
          <w:noProof/>
          <w:vertAlign w:val="superscript"/>
        </w:rPr>
        <w:t>35,36</w:t>
      </w:r>
      <w:r>
        <w:fldChar w:fldCharType="end"/>
      </w:r>
      <w:r>
        <w:t>.</w:t>
      </w:r>
    </w:p>
    <w:p w:rsidR="007E7BBD" w:rsidRPr="001F6685" w:rsidRDefault="007E7BBD" w:rsidP="007E7BBD">
      <w:pPr>
        <w:pStyle w:val="Textnoindent"/>
      </w:pPr>
      <w:r>
        <w:rPr>
          <w:vertAlign w:val="superscript"/>
        </w:rPr>
        <w:lastRenderedPageBreak/>
        <w:t>m</w:t>
      </w:r>
      <w:r>
        <w:t xml:space="preserve">As demonstrated by Cohen and co-workers </w:t>
      </w:r>
      <w:r>
        <w:fldChar w:fldCharType="begin" w:fldLock="1"/>
      </w:r>
      <w:r>
        <w:instrText>ADDIN CSL_CITATION {"citationItems":[{"id":"ITEM-1","itemData":{"DOI":"10.1016/j.bpj.2015.07.038","ISSN":"00063495","author":[{"dropping-particle":"","family":"Brinks","given":"Daan","non-dropping-particle":"","parse-names":false,"suffix":""},{"dropping-particle":"","family":"Klein","given":"Aaron J.","non-dropping-particle":"","parse-names":false,"suffix":""},{"dropping-particle":"","family":"Cohen","given":"Adam E.","non-dropping-particle":"","parse-names":false,"suffix":""}],"container-title":"Biophysical Journal","id":"ITEM-1","issue":"5","issued":{"date-parts":[["2015"]]},"page":"914-921","publisher":"Biophysical Society","title":"Two-photon lifetime imaging of voltage indicating proteins as a probe of absolute membrane voltage","type":"article-journal","volume":"109"},"uris":["http://www.mendeley.com/documents/?uuid=bdc3246e-92b5-427d-a475-a7226b8fc95b"]}],"mendeley":{"formattedCitation":"&lt;sup&gt;27&lt;/sup&gt;","plainTextFormattedCitation":"27"},"properties":{"noteIndex":0},"schema":"https://github.com/citation-style-language/schema/raw/master/csl-citation.json"}</w:instrText>
      </w:r>
      <w:r>
        <w:fldChar w:fldCharType="separate"/>
      </w:r>
      <w:r w:rsidRPr="0017057A">
        <w:rPr>
          <w:noProof/>
          <w:vertAlign w:val="superscript"/>
        </w:rPr>
        <w:t>27</w:t>
      </w:r>
      <w:r>
        <w:fldChar w:fldCharType="end"/>
      </w:r>
      <w:r>
        <w:t xml:space="preserve">; in our hands with CAESR, we also experienced significant improvements in voltage resolution by fitting a single curve per FLIM image instead of processing the images pixel-wise (see </w:t>
      </w:r>
      <w:hyperlink w:anchor="_Analysis_of_CAESR" w:history="1">
        <w:r w:rsidRPr="000D77A0">
          <w:rPr>
            <w:rStyle w:val="Hyperlink"/>
          </w:rPr>
          <w:t>Methods</w:t>
        </w:r>
      </w:hyperlink>
      <w:r>
        <w:t>)</w:t>
      </w:r>
    </w:p>
    <w:p w:rsidR="00DA791D" w:rsidRDefault="007E7BBD" w:rsidP="007E7BBD">
      <w:r>
        <w:rPr>
          <w:vertAlign w:val="superscript"/>
        </w:rPr>
        <w:t>n</w:t>
      </w:r>
      <w:r>
        <w:t>In this work, we calibrated VF-FLIM for V</w:t>
      </w:r>
      <w:r w:rsidRPr="00AF06FD">
        <w:rPr>
          <w:vertAlign w:val="subscript"/>
        </w:rPr>
        <w:t>mem</w:t>
      </w:r>
      <w:r>
        <w:t xml:space="preserve"> measurements with single cell resolution. In principle, subcellular spatial resolution could be achieved with the VF-FLIM technique.</w:t>
      </w:r>
    </w:p>
    <w:sectPr w:rsidR="00DA7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BBD"/>
    <w:rsid w:val="001E2E6C"/>
    <w:rsid w:val="007E7BBD"/>
    <w:rsid w:val="00DA791D"/>
    <w:rsid w:val="00DC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85E31"/>
  <w15:chartTrackingRefBased/>
  <w15:docId w15:val="{6721E623-8288-448A-A5B1-EE5D26A6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BBD"/>
    <w:pPr>
      <w:spacing w:after="0" w:line="480" w:lineRule="auto"/>
      <w:ind w:firstLine="720"/>
      <w:jc w:val="both"/>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7E7BBD"/>
    <w:pPr>
      <w:keepNext/>
      <w:ind w:firstLine="0"/>
      <w:outlineLvl w:val="2"/>
    </w:pPr>
    <w:rPr>
      <w:rFonts w:ascii="Times" w:eastAsia="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E7BBD"/>
    <w:rPr>
      <w:rFonts w:ascii="Times" w:eastAsia="Times" w:hAnsi="Times" w:cs="Times New Roman"/>
      <w:b/>
      <w:sz w:val="24"/>
      <w:szCs w:val="20"/>
    </w:rPr>
  </w:style>
  <w:style w:type="character" w:styleId="Hyperlink">
    <w:name w:val="Hyperlink"/>
    <w:basedOn w:val="DefaultParagraphFont"/>
    <w:rsid w:val="007E7BBD"/>
    <w:rPr>
      <w:b/>
      <w:color w:val="auto"/>
      <w:u w:val="none"/>
    </w:rPr>
  </w:style>
  <w:style w:type="paragraph" w:customStyle="1" w:styleId="Tabletext">
    <w:name w:val="Table text"/>
    <w:basedOn w:val="Normal"/>
    <w:qFormat/>
    <w:rsid w:val="007E7BBD"/>
    <w:pPr>
      <w:spacing w:line="240" w:lineRule="auto"/>
      <w:ind w:firstLine="0"/>
      <w:jc w:val="center"/>
    </w:pPr>
    <w:rPr>
      <w:szCs w:val="24"/>
    </w:rPr>
  </w:style>
  <w:style w:type="table" w:styleId="TableGrid">
    <w:name w:val="Table Grid"/>
    <w:basedOn w:val="TableNormal"/>
    <w:uiPriority w:val="39"/>
    <w:rsid w:val="007E7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indent">
    <w:name w:val="Text no indent"/>
    <w:basedOn w:val="Normal"/>
    <w:link w:val="TextnoindentChar"/>
    <w:qFormat/>
    <w:rsid w:val="007E7BBD"/>
    <w:pPr>
      <w:ind w:firstLine="0"/>
    </w:pPr>
    <w:rPr>
      <w:rFonts w:eastAsia="Arial"/>
    </w:rPr>
  </w:style>
  <w:style w:type="character" w:customStyle="1" w:styleId="TextnoindentChar">
    <w:name w:val="Text no indent Char"/>
    <w:basedOn w:val="DefaultParagraphFont"/>
    <w:link w:val="Textnoindent"/>
    <w:rsid w:val="007E7BBD"/>
    <w:rPr>
      <w:rFonts w:ascii="Times New Roman" w:eastAsia="Arial"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4069</Words>
  <Characters>23195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Miller</dc:creator>
  <cp:keywords/>
  <dc:description/>
  <cp:lastModifiedBy>Evan Miller</cp:lastModifiedBy>
  <cp:revision>2</cp:revision>
  <dcterms:created xsi:type="dcterms:W3CDTF">2019-06-25T15:55:00Z</dcterms:created>
  <dcterms:modified xsi:type="dcterms:W3CDTF">2019-06-25T17:05:00Z</dcterms:modified>
</cp:coreProperties>
</file>