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72DC" w:rsidRDefault="009F72DC" w:rsidP="009F72DC">
      <w:pPr>
        <w:ind w:firstLine="0"/>
      </w:pPr>
      <w:r w:rsidRPr="009F72DC">
        <w:rPr>
          <w:b/>
        </w:rPr>
        <w:t>Fig. 1, S</w:t>
      </w:r>
      <w:r w:rsidRPr="009F72DC">
        <w:rPr>
          <w:b/>
        </w:rPr>
        <w:t>ource Data 2</w:t>
      </w:r>
      <w:r w:rsidRPr="00467DC0">
        <w:t xml:space="preserve">. Properties of lifetime </w:t>
      </w:r>
      <w:r w:rsidRPr="00F709FC">
        <w:t>standards</w:t>
      </w:r>
      <w:r w:rsidRPr="00467DC0">
        <w:t xml:space="preserve"> and VoltageFluor dyes. </w:t>
      </w:r>
    </w:p>
    <w:tbl>
      <w:tblPr>
        <w:tblpPr w:leftFromText="180" w:rightFromText="180" w:vertAnchor="text" w:horzAnchor="margin" w:tblpY="-46"/>
        <w:tblW w:w="8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2"/>
        <w:gridCol w:w="2203"/>
        <w:gridCol w:w="2196"/>
        <w:gridCol w:w="2196"/>
      </w:tblGrid>
      <w:tr w:rsidR="009F72DC" w:rsidRPr="00467DC0" w:rsidTr="00050A5C">
        <w:trPr>
          <w:trHeight w:val="170"/>
        </w:trPr>
        <w:tc>
          <w:tcPr>
            <w:tcW w:w="2242" w:type="dxa"/>
            <w:shd w:val="clear" w:color="auto" w:fill="auto"/>
          </w:tcPr>
          <w:p w:rsidR="009F72DC" w:rsidRPr="00467DC0" w:rsidRDefault="009F72DC" w:rsidP="00050A5C">
            <w:pPr>
              <w:pStyle w:val="Tabletext"/>
            </w:pPr>
          </w:p>
        </w:tc>
        <w:tc>
          <w:tcPr>
            <w:tcW w:w="2203" w:type="dxa"/>
            <w:shd w:val="clear" w:color="auto" w:fill="auto"/>
          </w:tcPr>
          <w:p w:rsidR="009F72DC" w:rsidRPr="00467DC0" w:rsidRDefault="009F72DC" w:rsidP="00050A5C">
            <w:pPr>
              <w:pStyle w:val="Tabletext"/>
            </w:pPr>
            <w:r w:rsidRPr="00467DC0">
              <w:t>%ΔF/F</w:t>
            </w:r>
          </w:p>
        </w:tc>
        <w:tc>
          <w:tcPr>
            <w:tcW w:w="2196" w:type="dxa"/>
            <w:shd w:val="clear" w:color="auto" w:fill="auto"/>
          </w:tcPr>
          <w:p w:rsidR="009F72DC" w:rsidRPr="00467DC0" w:rsidRDefault="009F72DC" w:rsidP="00050A5C">
            <w:pPr>
              <w:pStyle w:val="Tabletext"/>
            </w:pPr>
            <w:r w:rsidRPr="00467DC0">
              <w:t>%</w:t>
            </w:r>
            <w:proofErr w:type="spellStart"/>
            <w:r w:rsidRPr="00467DC0">
              <w:t>Δτ</w:t>
            </w:r>
            <w:proofErr w:type="spellEnd"/>
            <w:r w:rsidRPr="00467DC0">
              <w:t>/τ</w:t>
            </w:r>
          </w:p>
        </w:tc>
        <w:tc>
          <w:tcPr>
            <w:tcW w:w="2196" w:type="dxa"/>
          </w:tcPr>
          <w:p w:rsidR="009F72DC" w:rsidRPr="00467DC0" w:rsidRDefault="009F72DC" w:rsidP="00050A5C">
            <w:pPr>
              <w:pStyle w:val="Tabletext"/>
            </w:pPr>
            <w:r w:rsidRPr="00467DC0">
              <w:t>Lifetime (ns)</w:t>
            </w:r>
          </w:p>
        </w:tc>
      </w:tr>
      <w:tr w:rsidR="009F72DC" w:rsidRPr="00467DC0" w:rsidTr="00050A5C">
        <w:tc>
          <w:tcPr>
            <w:tcW w:w="2242" w:type="dxa"/>
            <w:shd w:val="clear" w:color="auto" w:fill="auto"/>
          </w:tcPr>
          <w:p w:rsidR="009F72DC" w:rsidRPr="00467DC0" w:rsidRDefault="009F72DC" w:rsidP="00050A5C">
            <w:pPr>
              <w:pStyle w:val="Tabletext"/>
            </w:pPr>
            <w:r w:rsidRPr="00467DC0">
              <w:t>Fluorescein</w:t>
            </w:r>
          </w:p>
        </w:tc>
        <w:tc>
          <w:tcPr>
            <w:tcW w:w="2203" w:type="dxa"/>
            <w:shd w:val="clear" w:color="auto" w:fill="auto"/>
          </w:tcPr>
          <w:p w:rsidR="009F72DC" w:rsidRPr="00467DC0" w:rsidRDefault="009F72DC" w:rsidP="00050A5C">
            <w:pPr>
              <w:pStyle w:val="Tabletext"/>
            </w:pPr>
            <w:r w:rsidRPr="00467DC0">
              <w:t>N/A</w:t>
            </w:r>
          </w:p>
        </w:tc>
        <w:tc>
          <w:tcPr>
            <w:tcW w:w="2196" w:type="dxa"/>
            <w:shd w:val="clear" w:color="auto" w:fill="auto"/>
          </w:tcPr>
          <w:p w:rsidR="009F72DC" w:rsidRPr="00467DC0" w:rsidRDefault="009F72DC" w:rsidP="00050A5C">
            <w:pPr>
              <w:pStyle w:val="Tabletext"/>
            </w:pPr>
            <w:r w:rsidRPr="00467DC0">
              <w:t>N/A</w:t>
            </w:r>
          </w:p>
        </w:tc>
        <w:tc>
          <w:tcPr>
            <w:tcW w:w="2196" w:type="dxa"/>
          </w:tcPr>
          <w:p w:rsidR="009F72DC" w:rsidRPr="00467DC0" w:rsidRDefault="009F72DC" w:rsidP="00050A5C">
            <w:pPr>
              <w:pStyle w:val="Tabletext"/>
            </w:pPr>
            <w:r w:rsidRPr="00467DC0">
              <w:t>4.0</w:t>
            </w:r>
            <w:r>
              <w:t>08</w:t>
            </w:r>
            <w:r w:rsidRPr="00467DC0">
              <w:t xml:space="preserve"> ± 0.0</w:t>
            </w:r>
            <w:r>
              <w:t>09</w:t>
            </w:r>
          </w:p>
        </w:tc>
      </w:tr>
      <w:tr w:rsidR="009F72DC" w:rsidRPr="00467DC0" w:rsidTr="00050A5C">
        <w:tc>
          <w:tcPr>
            <w:tcW w:w="2242" w:type="dxa"/>
            <w:shd w:val="clear" w:color="auto" w:fill="auto"/>
          </w:tcPr>
          <w:p w:rsidR="009F72DC" w:rsidRPr="00467DC0" w:rsidRDefault="009F72DC" w:rsidP="00050A5C">
            <w:pPr>
              <w:pStyle w:val="Tabletext"/>
            </w:pPr>
            <w:proofErr w:type="spellStart"/>
            <w:r w:rsidRPr="00467DC0">
              <w:t>Erythrosin</w:t>
            </w:r>
            <w:proofErr w:type="spellEnd"/>
            <w:r w:rsidRPr="00467DC0">
              <w:t xml:space="preserve"> B</w:t>
            </w:r>
          </w:p>
        </w:tc>
        <w:tc>
          <w:tcPr>
            <w:tcW w:w="2203" w:type="dxa"/>
            <w:shd w:val="clear" w:color="auto" w:fill="auto"/>
          </w:tcPr>
          <w:p w:rsidR="009F72DC" w:rsidRPr="00467DC0" w:rsidRDefault="009F72DC" w:rsidP="00050A5C">
            <w:pPr>
              <w:pStyle w:val="Tabletext"/>
            </w:pPr>
            <w:r w:rsidRPr="00467DC0">
              <w:t>N/A</w:t>
            </w:r>
          </w:p>
        </w:tc>
        <w:tc>
          <w:tcPr>
            <w:tcW w:w="2196" w:type="dxa"/>
            <w:shd w:val="clear" w:color="auto" w:fill="auto"/>
          </w:tcPr>
          <w:p w:rsidR="009F72DC" w:rsidRPr="00467DC0" w:rsidRDefault="009F72DC" w:rsidP="00050A5C">
            <w:pPr>
              <w:pStyle w:val="Tabletext"/>
            </w:pPr>
            <w:r w:rsidRPr="00467DC0">
              <w:t>N/A</w:t>
            </w:r>
          </w:p>
        </w:tc>
        <w:tc>
          <w:tcPr>
            <w:tcW w:w="2196" w:type="dxa"/>
          </w:tcPr>
          <w:p w:rsidR="009F72DC" w:rsidRPr="00467DC0" w:rsidRDefault="009F72DC" w:rsidP="00050A5C">
            <w:pPr>
              <w:pStyle w:val="Tabletext"/>
            </w:pPr>
            <w:r w:rsidRPr="00467DC0">
              <w:t>0.08</w:t>
            </w:r>
            <w:r>
              <w:t>3</w:t>
            </w:r>
            <w:r w:rsidRPr="00467DC0">
              <w:t xml:space="preserve"> ± 0.00</w:t>
            </w:r>
            <w:r>
              <w:t>1</w:t>
            </w:r>
          </w:p>
        </w:tc>
      </w:tr>
      <w:tr w:rsidR="009F72DC" w:rsidRPr="00467DC0" w:rsidTr="00050A5C">
        <w:tc>
          <w:tcPr>
            <w:tcW w:w="2242" w:type="dxa"/>
            <w:shd w:val="clear" w:color="auto" w:fill="auto"/>
          </w:tcPr>
          <w:p w:rsidR="009F72DC" w:rsidRPr="00467DC0" w:rsidRDefault="009F72DC" w:rsidP="00050A5C">
            <w:pPr>
              <w:pStyle w:val="Tabletext"/>
            </w:pPr>
            <w:r w:rsidRPr="00467DC0">
              <w:t>VF2.</w:t>
            </w:r>
            <w:proofErr w:type="gramStart"/>
            <w:r w:rsidRPr="00467DC0">
              <w:t>1.Cl</w:t>
            </w:r>
            <w:proofErr w:type="gramEnd"/>
          </w:p>
        </w:tc>
        <w:tc>
          <w:tcPr>
            <w:tcW w:w="2203" w:type="dxa"/>
            <w:shd w:val="clear" w:color="auto" w:fill="auto"/>
          </w:tcPr>
          <w:p w:rsidR="009F72DC" w:rsidRPr="00467DC0" w:rsidRDefault="009F72DC" w:rsidP="00050A5C">
            <w:pPr>
              <w:pStyle w:val="Tabletext"/>
            </w:pPr>
            <w:r w:rsidRPr="00467DC0">
              <w:t>27</w:t>
            </w:r>
          </w:p>
        </w:tc>
        <w:tc>
          <w:tcPr>
            <w:tcW w:w="2196" w:type="dxa"/>
            <w:shd w:val="clear" w:color="auto" w:fill="auto"/>
          </w:tcPr>
          <w:p w:rsidR="009F72DC" w:rsidRPr="00467DC0" w:rsidRDefault="009F72DC" w:rsidP="00050A5C">
            <w:pPr>
              <w:pStyle w:val="Tabletext"/>
            </w:pPr>
            <w:r w:rsidRPr="00467DC0">
              <w:t>2</w:t>
            </w:r>
            <w:r>
              <w:t xml:space="preserve">2.4 </w:t>
            </w:r>
            <w:r w:rsidRPr="00467DC0">
              <w:t>± 0.4%</w:t>
            </w:r>
          </w:p>
        </w:tc>
        <w:tc>
          <w:tcPr>
            <w:tcW w:w="2196" w:type="dxa"/>
          </w:tcPr>
          <w:p w:rsidR="009F72DC" w:rsidRPr="00467DC0" w:rsidRDefault="009F72DC" w:rsidP="00050A5C">
            <w:pPr>
              <w:pStyle w:val="Tabletext"/>
            </w:pPr>
            <w:r w:rsidRPr="00467DC0">
              <w:t>1.7</w:t>
            </w:r>
            <w:r>
              <w:t>7</w:t>
            </w:r>
            <w:r w:rsidRPr="00467DC0">
              <w:t xml:space="preserve"> ± 0.0</w:t>
            </w:r>
            <w:r>
              <w:t>2</w:t>
            </w:r>
          </w:p>
        </w:tc>
      </w:tr>
      <w:tr w:rsidR="009F72DC" w:rsidRPr="00467DC0" w:rsidTr="00050A5C">
        <w:tc>
          <w:tcPr>
            <w:tcW w:w="2242" w:type="dxa"/>
            <w:shd w:val="clear" w:color="auto" w:fill="auto"/>
          </w:tcPr>
          <w:p w:rsidR="009F72DC" w:rsidRPr="00467DC0" w:rsidRDefault="009F72DC" w:rsidP="00050A5C">
            <w:pPr>
              <w:pStyle w:val="Tabletext"/>
            </w:pPr>
            <w:r w:rsidRPr="00467DC0">
              <w:t>VF2.</w:t>
            </w:r>
            <w:proofErr w:type="gramStart"/>
            <w:r w:rsidRPr="00467DC0">
              <w:t>0.Cl</w:t>
            </w:r>
            <w:proofErr w:type="gramEnd"/>
          </w:p>
        </w:tc>
        <w:tc>
          <w:tcPr>
            <w:tcW w:w="2203" w:type="dxa"/>
            <w:shd w:val="clear" w:color="auto" w:fill="auto"/>
          </w:tcPr>
          <w:p w:rsidR="009F72DC" w:rsidRPr="00467DC0" w:rsidRDefault="009F72DC" w:rsidP="00050A5C">
            <w:pPr>
              <w:pStyle w:val="Tabletext"/>
            </w:pPr>
            <w:r w:rsidRPr="00467DC0">
              <w:t>0</w:t>
            </w:r>
          </w:p>
        </w:tc>
        <w:tc>
          <w:tcPr>
            <w:tcW w:w="2196" w:type="dxa"/>
            <w:shd w:val="clear" w:color="auto" w:fill="auto"/>
          </w:tcPr>
          <w:p w:rsidR="009F72DC" w:rsidRPr="00467DC0" w:rsidRDefault="009F72DC" w:rsidP="00050A5C">
            <w:pPr>
              <w:pStyle w:val="Tabletext"/>
            </w:pPr>
            <w:r w:rsidRPr="00467DC0">
              <w:t>0.1</w:t>
            </w:r>
            <w:r>
              <w:t>1</w:t>
            </w:r>
            <w:r w:rsidRPr="00467DC0">
              <w:t xml:space="preserve"> ± 0.</w:t>
            </w:r>
            <w:r>
              <w:t>05</w:t>
            </w:r>
            <w:r w:rsidRPr="00467DC0">
              <w:t>%</w:t>
            </w:r>
          </w:p>
        </w:tc>
        <w:tc>
          <w:tcPr>
            <w:tcW w:w="2196" w:type="dxa"/>
          </w:tcPr>
          <w:p w:rsidR="009F72DC" w:rsidRPr="00467DC0" w:rsidRDefault="009F72DC" w:rsidP="00050A5C">
            <w:pPr>
              <w:pStyle w:val="Tabletext"/>
            </w:pPr>
            <w:r w:rsidRPr="00467DC0">
              <w:t>3.48</w:t>
            </w:r>
            <w:r>
              <w:t>2</w:t>
            </w:r>
            <w:r w:rsidRPr="00467DC0">
              <w:t xml:space="preserve"> ± 0.0</w:t>
            </w:r>
            <w:r>
              <w:t>04</w:t>
            </w:r>
          </w:p>
        </w:tc>
      </w:tr>
    </w:tbl>
    <w:p w:rsidR="009F72DC" w:rsidRDefault="009F72DC" w:rsidP="009F72DC">
      <w:pPr>
        <w:ind w:firstLine="0"/>
        <w:rPr>
          <w:b/>
        </w:rPr>
      </w:pPr>
    </w:p>
    <w:p w:rsidR="009A4D7E" w:rsidRDefault="009F72DC" w:rsidP="009F72DC">
      <w:pPr>
        <w:ind w:firstLine="0"/>
      </w:pPr>
      <w:r w:rsidRPr="004A2A4D">
        <w:rPr>
          <w:b/>
        </w:rPr>
        <w:t>Fig. 1, S</w:t>
      </w:r>
      <w:r>
        <w:rPr>
          <w:b/>
        </w:rPr>
        <w:t>ource Data 2</w:t>
      </w:r>
      <w:r w:rsidRPr="004A2A4D">
        <w:rPr>
          <w:b/>
        </w:rPr>
        <w:t xml:space="preserve">. </w:t>
      </w:r>
      <w:r w:rsidRPr="004A2A4D">
        <w:t>Properties of lifetime standards and VoltageFluor dyes.</w:t>
      </w:r>
      <w:r w:rsidRPr="004A2A4D">
        <w:rPr>
          <w:b/>
        </w:rPr>
        <w:t xml:space="preserve"> </w:t>
      </w:r>
      <w:r w:rsidRPr="00467DC0">
        <w:t xml:space="preserve">Fluorescein and </w:t>
      </w:r>
      <w:proofErr w:type="spellStart"/>
      <w:r w:rsidRPr="00467DC0">
        <w:t>erythrosin</w:t>
      </w:r>
      <w:proofErr w:type="spellEnd"/>
      <w:r w:rsidRPr="00467DC0">
        <w:t xml:space="preserve"> B standards were measured in </w:t>
      </w:r>
      <w:r>
        <w:t>drops of solution</w:t>
      </w:r>
      <w:r w:rsidRPr="00467DC0">
        <w:t xml:space="preserve"> placed on a coverslip. For </w:t>
      </w:r>
      <w:r w:rsidRPr="004A2A4D">
        <w:t>VF dyes, voltage sensitivities from intensity</w:t>
      </w:r>
      <w:r w:rsidRPr="00467DC0">
        <w:t>-based fluorescence imaging</w:t>
      </w:r>
      <w:r>
        <w:t xml:space="preserve"> in HEK293T cells</w:t>
      </w:r>
      <w:r w:rsidRPr="00467DC0">
        <w:t xml:space="preserve"> (%ΔF/F, percent change in fluorescence intensity for a voltage step from -60 mV to +40 mV) are from previously published work</w:t>
      </w:r>
      <w:r>
        <w:t xml:space="preserve"> </w:t>
      </w:r>
      <w:r>
        <w:fldChar w:fldCharType="begin" w:fldLock="1"/>
      </w:r>
      <w:r>
        <w:instrText>ADDIN CSL_CITATION {"citationItems":[{"id":"ITEM-1","itemData":{"DOI":"10.1021/ja510602z","ISSN":"0002-7863","PMID":"25584688","abstract":"VoltageFluor (VF) dyes have the potential to measure voltage optically in excitable membranes with a combination of high spatial and temporal resolution essential to better characterize the voltage dynamics of large groups of excitable cells. VF dyes sense voltage with high speed and sensitivity using photoinduced electron transfer (PeT) through a conjugated molecular wire. We show that tuning the driving force for PeT (ΔGPeT + w) through systematic chemical substitution modulates voltage sensitivity, estimate (ΔGPeT + w) values from experimentally measured redox potentials, and validate the voltage sensitivities in patch-clamped HEK cells for 10 new VF dyes. VF2.1(OMe).H, with a 48% ΔF/F per 100 mV, shows approximately 2-fold improvement over previous dyes in HEK cells, dissociated rat cortical neurons, and medicinal leech ganglia. Additionally, VF2.1(OMe).H faithfully reports pharmacological effects and circuit activity in mouse olfactory bulb slices, thus opening a wide range of previously inaccessible applications for voltage-sensitive dyes.","author":[{"dropping-particle":"","family":"Woodford","given":"Clifford R.","non-dropping-particle":"","parse-names":false,"suffix":""},{"dropping-particle":"","family":"Frady","given":"E. Paxon","non-dropping-particle":"","parse-names":false,"suffix":""},{"dropping-particle":"","family":"Smith","given":"Richard S.","non-dropping-particle":"","parse-names":false,"suffix":""},{"dropping-particle":"","family":"Morey","given":"Benjamin","non-dropping-particle":"","parse-names":false,"suffix":""},{"dropping-particle":"","family":"Canzi","given":"Gabriele","non-dropping-particle":"","parse-names":false,"suffix":""},{"dropping-particle":"","family":"Palida","given":"Sakina F.","non-dropping-particle":"","parse-names":false,"suffix":""},{"dropping-particle":"","family":"Araneda","given":"Ricardo C.","non-dropping-particle":"","parse-names":false,"suffix":""},{"dropping-particle":"","family":"Kristan","given":"William B.","non-dropping-particle":"","parse-names":false,"suffix":""},{"dropping-particle":"","family":"Kubiak","given":"Clifford P.","non-dropping-particle":"","parse-names":false,"suffix":""},{"dropping-particle":"","family":"Miller","given":"Evan W.","non-dropping-particle":"","parse-names":false,"suffix":""},{"dropping-particle":"","family":"Tsien","given":"Roger Y.","non-dropping-particle":"","parse-names":false,"suffix":""}],"container-title":"Journal of the American Chemical Society","id":"ITEM-1","issue":"5","issued":{"date-parts":[["2015"]]},"page":"1817-1824","title":"Improved PeT molecules for optically sensing voltage in neurons","type":"article-journal","volume":"137"},"uris":["http://www.mendeley.com/documents/?uuid=0afce086-1f66-419d-8939-a9738aa72075"]}],"mendeley":{"formattedCitation":"&lt;sup&gt;30&lt;/sup&gt;","plainTextFormattedCitation":"30","previouslyFormattedCitation":"&lt;sup&gt;30&lt;/sup&gt;"},"properties":{"noteIndex":0},"schema":"https://github.com/citation-style-language/schema/raw/master/csl-citation.json"}</w:instrText>
      </w:r>
      <w:r>
        <w:fldChar w:fldCharType="separate"/>
      </w:r>
      <w:r w:rsidRPr="00DA7E6E">
        <w:rPr>
          <w:noProof/>
          <w:vertAlign w:val="superscript"/>
        </w:rPr>
        <w:t>30</w:t>
      </w:r>
      <w:r>
        <w:fldChar w:fldCharType="end"/>
      </w:r>
      <w:r w:rsidRPr="00467DC0">
        <w:t xml:space="preserve">. Lifetime data were obtained from voltage-clamp electrophysiology of HEK293T cells loaded with 100 </w:t>
      </w:r>
      <w:proofErr w:type="spellStart"/>
      <w:r w:rsidRPr="00467DC0">
        <w:t>nM</w:t>
      </w:r>
      <w:proofErr w:type="spellEnd"/>
      <w:r w:rsidRPr="00467DC0">
        <w:t xml:space="preserve"> VF. Lifetime listed here is the average 0 mV l</w:t>
      </w:r>
      <w:bookmarkStart w:id="0" w:name="_GoBack"/>
      <w:bookmarkEnd w:id="0"/>
      <w:r w:rsidRPr="00467DC0">
        <w:t xml:space="preserve">ifetime from the electrophysiology calibration. % </w:t>
      </w:r>
      <w:proofErr w:type="spellStart"/>
      <w:r w:rsidRPr="00467DC0">
        <w:t>Δτ</w:t>
      </w:r>
      <w:proofErr w:type="spellEnd"/>
      <w:r w:rsidRPr="00467DC0">
        <w:t xml:space="preserve">/τ is the percent change in lifetime corresponding to a </w:t>
      </w:r>
      <w:proofErr w:type="gramStart"/>
      <w:r w:rsidRPr="00467DC0">
        <w:t>100 mV</w:t>
      </w:r>
      <w:proofErr w:type="gramEnd"/>
      <w:r w:rsidRPr="00467DC0">
        <w:t xml:space="preserve"> step from -60 mV to +40 mV. Lifetime sample sizes: fluorescein </w:t>
      </w:r>
      <w:r>
        <w:t>25</w:t>
      </w:r>
      <w:r w:rsidRPr="00467DC0">
        <w:t xml:space="preserve">, </w:t>
      </w:r>
      <w:proofErr w:type="spellStart"/>
      <w:r w:rsidRPr="00467DC0">
        <w:t>erythrosin</w:t>
      </w:r>
      <w:proofErr w:type="spellEnd"/>
      <w:r w:rsidRPr="00467DC0">
        <w:t xml:space="preserve"> B </w:t>
      </w:r>
      <w:r>
        <w:t xml:space="preserve">25, </w:t>
      </w:r>
      <w:r w:rsidRPr="00467DC0">
        <w:t>VF2.</w:t>
      </w:r>
      <w:proofErr w:type="gramStart"/>
      <w:r w:rsidRPr="00467DC0">
        <w:t>1.Cl</w:t>
      </w:r>
      <w:proofErr w:type="gramEnd"/>
      <w:r w:rsidRPr="00467DC0">
        <w:t xml:space="preserve"> 1</w:t>
      </w:r>
      <w:r>
        <w:t xml:space="preserve">7, </w:t>
      </w:r>
      <w:r w:rsidRPr="00467DC0">
        <w:t xml:space="preserve">VF2.0.Cl </w:t>
      </w:r>
      <w:r>
        <w:t>17.</w:t>
      </w:r>
      <w:r w:rsidRPr="00467DC0">
        <w:t xml:space="preserve"> For lifetime standards, each measurement was taken on a separate day. VF2.</w:t>
      </w:r>
      <w:proofErr w:type="gramStart"/>
      <w:r w:rsidRPr="00467DC0">
        <w:t>1.Cl</w:t>
      </w:r>
      <w:proofErr w:type="gramEnd"/>
      <w:r w:rsidRPr="00467DC0">
        <w:t xml:space="preserve"> data</w:t>
      </w:r>
      <w:r>
        <w:t xml:space="preserve"> in HEK293T</w:t>
      </w:r>
      <w:r w:rsidRPr="00467DC0">
        <w:t xml:space="preserve"> is duplicated in </w:t>
      </w:r>
      <w:r w:rsidRPr="009F72DC">
        <w:rPr>
          <w:rStyle w:val="Hyperlink"/>
        </w:rPr>
        <w:t xml:space="preserve">Figure 2 – </w:t>
      </w:r>
      <w:r>
        <w:rPr>
          <w:rStyle w:val="Hyperlink"/>
        </w:rPr>
        <w:t>source data 1</w:t>
      </w:r>
      <w:r w:rsidRPr="00467DC0">
        <w:t>. Values are tabulated as mean ± SEM.</w:t>
      </w:r>
    </w:p>
    <w:sectPr w:rsidR="009A4D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2DC"/>
    <w:rsid w:val="009A4D7E"/>
    <w:rsid w:val="009F72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888F3"/>
  <w15:chartTrackingRefBased/>
  <w15:docId w15:val="{F3233B0B-3FE9-42B5-9151-16614913D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F72DC"/>
    <w:pPr>
      <w:spacing w:after="0" w:line="480" w:lineRule="auto"/>
      <w:ind w:firstLine="720"/>
      <w:jc w:val="both"/>
    </w:pPr>
    <w:rPr>
      <w:rFonts w:ascii="Times New Roman" w:eastAsia="Times New Roman" w:hAnsi="Times New Roman" w:cs="Times New Roman"/>
      <w:sz w:val="24"/>
      <w:szCs w:val="20"/>
    </w:rPr>
  </w:style>
  <w:style w:type="paragraph" w:styleId="Heading3">
    <w:name w:val="heading 3"/>
    <w:basedOn w:val="Normal"/>
    <w:next w:val="Normal"/>
    <w:link w:val="Heading3Char"/>
    <w:qFormat/>
    <w:rsid w:val="009F72DC"/>
    <w:pPr>
      <w:keepNext/>
      <w:ind w:firstLine="0"/>
      <w:outlineLvl w:val="2"/>
    </w:pPr>
    <w:rPr>
      <w:rFonts w:ascii="Times" w:eastAsia="Times" w:hAnsi="Times"/>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9F72DC"/>
    <w:rPr>
      <w:rFonts w:ascii="Times" w:eastAsia="Times" w:hAnsi="Times" w:cs="Times New Roman"/>
      <w:b/>
      <w:sz w:val="24"/>
      <w:szCs w:val="20"/>
    </w:rPr>
  </w:style>
  <w:style w:type="character" w:styleId="Hyperlink">
    <w:name w:val="Hyperlink"/>
    <w:basedOn w:val="DefaultParagraphFont"/>
    <w:rsid w:val="009F72DC"/>
    <w:rPr>
      <w:b/>
      <w:color w:val="auto"/>
      <w:u w:val="none"/>
    </w:rPr>
  </w:style>
  <w:style w:type="paragraph" w:customStyle="1" w:styleId="Tabletext">
    <w:name w:val="Table text"/>
    <w:basedOn w:val="Normal"/>
    <w:qFormat/>
    <w:rsid w:val="009F72DC"/>
    <w:pPr>
      <w:spacing w:line="240" w:lineRule="auto"/>
      <w:ind w:firstLine="0"/>
      <w:jc w:val="center"/>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649</Words>
  <Characters>3705</Characters>
  <Application>Microsoft Office Word</Application>
  <DocSecurity>0</DocSecurity>
  <Lines>30</Lines>
  <Paragraphs>8</Paragraphs>
  <ScaleCrop>false</ScaleCrop>
  <Company/>
  <LinksUpToDate>false</LinksUpToDate>
  <CharactersWithSpaces>4346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JLD</dc:creator>
  <cp:keywords/>
  <dc:description/>
  <cp:lastModifiedBy>JLD</cp:lastModifiedBy>
  <cp:revision>1</cp:revision>
  <dcterms:created xsi:type="dcterms:W3CDTF">2019-06-25T19:00:00Z</dcterms:created>
  <dcterms:modified xsi:type="dcterms:W3CDTF">2019-06-25T19:02:00Z</dcterms:modified>
</cp:coreProperties>
</file>