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D7E" w:rsidRPr="0024249C" w:rsidRDefault="0024249C" w:rsidP="0024249C">
      <w:pPr>
        <w:ind w:firstLine="0"/>
      </w:pPr>
      <w:r>
        <w:rPr>
          <w:b/>
        </w:rPr>
        <w:t>Fig. 1, Source Data 3.</w:t>
      </w:r>
      <w:r>
        <w:t xml:space="preserve"> </w:t>
      </w:r>
      <w:r>
        <w:t>Comparison of optical approaches to absolute V</w:t>
      </w:r>
      <w:r w:rsidRPr="00100706">
        <w:rPr>
          <w:vertAlign w:val="subscript"/>
        </w:rPr>
        <w:t>mem</w:t>
      </w:r>
      <w:r>
        <w:t xml:space="preserve"> determination in HEK293T cells.</w:t>
      </w:r>
    </w:p>
    <w:tbl>
      <w:tblPr>
        <w:tblStyle w:val="TableGrid"/>
        <w:tblW w:w="9355" w:type="dxa"/>
        <w:tblLook w:val="04A0" w:firstRow="1" w:lastRow="0" w:firstColumn="1" w:lastColumn="0" w:noHBand="0" w:noVBand="1"/>
      </w:tblPr>
      <w:tblGrid>
        <w:gridCol w:w="2425"/>
        <w:gridCol w:w="1710"/>
        <w:gridCol w:w="1710"/>
        <w:gridCol w:w="1710"/>
        <w:gridCol w:w="1800"/>
      </w:tblGrid>
      <w:tr w:rsidR="0024249C" w:rsidTr="00050A5C">
        <w:tc>
          <w:tcPr>
            <w:tcW w:w="2425" w:type="dxa"/>
            <w:vAlign w:val="center"/>
          </w:tcPr>
          <w:p w:rsidR="0024249C" w:rsidRPr="00100706" w:rsidRDefault="0024249C" w:rsidP="00050A5C">
            <w:pPr>
              <w:pStyle w:val="Tabletext"/>
              <w:rPr>
                <w:b/>
              </w:rPr>
            </w:pPr>
            <w:r w:rsidRPr="00100706">
              <w:rPr>
                <w:b/>
              </w:rPr>
              <w:t>Strategy</w:t>
            </w:r>
          </w:p>
        </w:tc>
        <w:tc>
          <w:tcPr>
            <w:tcW w:w="1710" w:type="dxa"/>
            <w:vAlign w:val="center"/>
          </w:tcPr>
          <w:p w:rsidR="0024249C" w:rsidRPr="00100706" w:rsidRDefault="0024249C" w:rsidP="00050A5C">
            <w:pPr>
              <w:pStyle w:val="Tabletext"/>
              <w:rPr>
                <w:b/>
              </w:rPr>
            </w:pPr>
            <w:r w:rsidRPr="00100706">
              <w:rPr>
                <w:b/>
              </w:rPr>
              <w:t>Sensitivity</w:t>
            </w:r>
          </w:p>
        </w:tc>
        <w:tc>
          <w:tcPr>
            <w:tcW w:w="1710" w:type="dxa"/>
            <w:vAlign w:val="center"/>
          </w:tcPr>
          <w:p w:rsidR="0024249C" w:rsidRPr="00100706" w:rsidRDefault="0024249C" w:rsidP="00050A5C">
            <w:pPr>
              <w:pStyle w:val="Tabletext"/>
              <w:rPr>
                <w:b/>
              </w:rPr>
            </w:pPr>
            <w:r w:rsidRPr="00100706">
              <w:rPr>
                <w:b/>
              </w:rPr>
              <w:t>0 mV value</w:t>
            </w:r>
          </w:p>
        </w:tc>
        <w:tc>
          <w:tcPr>
            <w:tcW w:w="1710" w:type="dxa"/>
            <w:vAlign w:val="center"/>
          </w:tcPr>
          <w:p w:rsidR="0024249C" w:rsidRPr="00100706" w:rsidRDefault="0024249C" w:rsidP="00050A5C">
            <w:pPr>
              <w:pStyle w:val="Tabletext"/>
              <w:rPr>
                <w:b/>
              </w:rPr>
            </w:pPr>
            <w:r w:rsidRPr="00100706">
              <w:rPr>
                <w:b/>
              </w:rPr>
              <w:t xml:space="preserve">Intra-cell </w:t>
            </w:r>
            <w:r>
              <w:rPr>
                <w:b/>
              </w:rPr>
              <w:t>RMSD</w:t>
            </w:r>
          </w:p>
        </w:tc>
        <w:tc>
          <w:tcPr>
            <w:tcW w:w="1800" w:type="dxa"/>
            <w:vAlign w:val="center"/>
          </w:tcPr>
          <w:p w:rsidR="0024249C" w:rsidRPr="00100706" w:rsidRDefault="0024249C" w:rsidP="00050A5C">
            <w:pPr>
              <w:pStyle w:val="Tabletext"/>
              <w:rPr>
                <w:b/>
              </w:rPr>
            </w:pPr>
            <w:r w:rsidRPr="00100706">
              <w:rPr>
                <w:b/>
              </w:rPr>
              <w:t xml:space="preserve">Inter-cell </w:t>
            </w:r>
            <w:r>
              <w:rPr>
                <w:b/>
              </w:rPr>
              <w:t>RMSD</w:t>
            </w:r>
          </w:p>
        </w:tc>
      </w:tr>
      <w:tr w:rsidR="0024249C" w:rsidTr="00050A5C">
        <w:trPr>
          <w:trHeight w:val="665"/>
        </w:trPr>
        <w:tc>
          <w:tcPr>
            <w:tcW w:w="2425" w:type="dxa"/>
            <w:vAlign w:val="center"/>
          </w:tcPr>
          <w:p w:rsidR="0024249C" w:rsidRDefault="0024249C" w:rsidP="00050A5C">
            <w:pPr>
              <w:pStyle w:val="Tabletext"/>
            </w:pPr>
            <w:r>
              <w:t>VF2.</w:t>
            </w:r>
            <w:proofErr w:type="gramStart"/>
            <w:r>
              <w:t>1.Cl</w:t>
            </w:r>
            <w:proofErr w:type="gramEnd"/>
            <w:r>
              <w:t xml:space="preserve"> fluorescence lifetime</w:t>
            </w:r>
          </w:p>
        </w:tc>
        <w:tc>
          <w:tcPr>
            <w:tcW w:w="1710" w:type="dxa"/>
            <w:vAlign w:val="center"/>
          </w:tcPr>
          <w:p w:rsidR="0024249C" w:rsidRDefault="0024249C" w:rsidP="00050A5C">
            <w:pPr>
              <w:pStyle w:val="Tabletext"/>
            </w:pPr>
            <w:r w:rsidRPr="004A0B37">
              <w:t>3.</w:t>
            </w:r>
            <w:r>
              <w:t>5</w:t>
            </w:r>
            <w:r w:rsidRPr="002A451E">
              <w:t>0</w:t>
            </w:r>
            <w:r w:rsidRPr="004A0B37">
              <w:t xml:space="preserve"> ± 0.0</w:t>
            </w:r>
            <w:r w:rsidRPr="002A451E">
              <w:t>8</w:t>
            </w:r>
            <w:r>
              <w:t xml:space="preserve"> </w:t>
            </w:r>
            <w:proofErr w:type="spellStart"/>
            <w:r>
              <w:t>ps</w:t>
            </w:r>
            <w:proofErr w:type="spellEnd"/>
            <w:r>
              <w:t>/mV</w:t>
            </w:r>
          </w:p>
        </w:tc>
        <w:tc>
          <w:tcPr>
            <w:tcW w:w="1710" w:type="dxa"/>
            <w:vAlign w:val="center"/>
          </w:tcPr>
          <w:p w:rsidR="0024249C" w:rsidRDefault="0024249C" w:rsidP="00050A5C">
            <w:pPr>
              <w:pStyle w:val="Tabletext"/>
            </w:pPr>
            <w:r w:rsidRPr="004A0B37">
              <w:t>1.7</w:t>
            </w:r>
            <w:r w:rsidRPr="002A451E">
              <w:t>7</w:t>
            </w:r>
            <w:r w:rsidRPr="004A0B37">
              <w:t xml:space="preserve"> ± 0.0</w:t>
            </w:r>
            <w:r w:rsidRPr="002A451E">
              <w:t>2</w:t>
            </w:r>
            <w:r>
              <w:t xml:space="preserve"> ns</w:t>
            </w:r>
          </w:p>
        </w:tc>
        <w:tc>
          <w:tcPr>
            <w:tcW w:w="1710" w:type="dxa"/>
            <w:vAlign w:val="center"/>
          </w:tcPr>
          <w:p w:rsidR="0024249C" w:rsidRDefault="0024249C" w:rsidP="00050A5C">
            <w:pPr>
              <w:pStyle w:val="Tabletext"/>
            </w:pPr>
            <w:r>
              <w:t>3.</w:t>
            </w:r>
            <w:r>
              <w:t>5 ± 0.4 mV</w:t>
            </w:r>
          </w:p>
        </w:tc>
        <w:tc>
          <w:tcPr>
            <w:tcW w:w="1800" w:type="dxa"/>
            <w:vAlign w:val="center"/>
          </w:tcPr>
          <w:p w:rsidR="0024249C" w:rsidRDefault="0024249C" w:rsidP="00050A5C">
            <w:pPr>
              <w:pStyle w:val="Tabletext"/>
            </w:pPr>
            <w:r>
              <w:t>19</w:t>
            </w:r>
            <w:r>
              <w:t xml:space="preserve"> mV</w:t>
            </w:r>
          </w:p>
        </w:tc>
      </w:tr>
      <w:tr w:rsidR="0024249C" w:rsidTr="00050A5C">
        <w:trPr>
          <w:trHeight w:val="620"/>
        </w:trPr>
        <w:tc>
          <w:tcPr>
            <w:tcW w:w="2425" w:type="dxa"/>
            <w:vAlign w:val="center"/>
          </w:tcPr>
          <w:p w:rsidR="0024249C" w:rsidRDefault="0024249C" w:rsidP="00050A5C">
            <w:pPr>
              <w:pStyle w:val="Tabletext"/>
            </w:pPr>
            <w:r>
              <w:t>CAESR fluorescence lifetime</w:t>
            </w:r>
          </w:p>
        </w:tc>
        <w:tc>
          <w:tcPr>
            <w:tcW w:w="1710" w:type="dxa"/>
            <w:vAlign w:val="center"/>
          </w:tcPr>
          <w:p w:rsidR="0024249C" w:rsidRDefault="0024249C" w:rsidP="00050A5C">
            <w:pPr>
              <w:pStyle w:val="Tabletext"/>
            </w:pPr>
            <w:r>
              <w:t xml:space="preserve">-1.2 ± 0.1 </w:t>
            </w:r>
            <w:proofErr w:type="spellStart"/>
            <w:r>
              <w:t>ps</w:t>
            </w:r>
            <w:proofErr w:type="spellEnd"/>
            <w:r>
              <w:t>/mV</w:t>
            </w:r>
          </w:p>
        </w:tc>
        <w:tc>
          <w:tcPr>
            <w:tcW w:w="1710" w:type="dxa"/>
            <w:vAlign w:val="center"/>
          </w:tcPr>
          <w:p w:rsidR="0024249C" w:rsidRDefault="0024249C" w:rsidP="00050A5C">
            <w:pPr>
              <w:pStyle w:val="Tabletext"/>
            </w:pPr>
            <w:r>
              <w:t>2.0 ± 0.2 ns</w:t>
            </w:r>
          </w:p>
        </w:tc>
        <w:tc>
          <w:tcPr>
            <w:tcW w:w="1710" w:type="dxa"/>
            <w:vAlign w:val="center"/>
          </w:tcPr>
          <w:p w:rsidR="0024249C" w:rsidRDefault="0024249C" w:rsidP="00050A5C">
            <w:pPr>
              <w:pStyle w:val="Tabletext"/>
            </w:pPr>
            <w:r>
              <w:t>3</w:t>
            </w:r>
            <w:r>
              <w:t>3</w:t>
            </w:r>
            <w:r>
              <w:t xml:space="preserve"> ± 7 mV</w:t>
            </w:r>
          </w:p>
        </w:tc>
        <w:tc>
          <w:tcPr>
            <w:tcW w:w="1800" w:type="dxa"/>
            <w:vAlign w:val="center"/>
          </w:tcPr>
          <w:p w:rsidR="0024249C" w:rsidRDefault="0024249C" w:rsidP="00050A5C">
            <w:pPr>
              <w:pStyle w:val="Tabletext"/>
            </w:pPr>
            <w:r>
              <w:t>3</w:t>
            </w:r>
            <w:r>
              <w:t>7</w:t>
            </w:r>
            <w:r>
              <w:t>0 mV</w:t>
            </w:r>
          </w:p>
        </w:tc>
      </w:tr>
      <w:tr w:rsidR="0024249C" w:rsidTr="00050A5C">
        <w:trPr>
          <w:trHeight w:val="611"/>
        </w:trPr>
        <w:tc>
          <w:tcPr>
            <w:tcW w:w="2425" w:type="dxa"/>
            <w:vAlign w:val="center"/>
          </w:tcPr>
          <w:p w:rsidR="0024249C" w:rsidRDefault="0024249C" w:rsidP="00050A5C">
            <w:pPr>
              <w:pStyle w:val="Tabletext"/>
            </w:pPr>
            <w:r>
              <w:t>di-8-ANEPPS excitation ratio</w:t>
            </w:r>
          </w:p>
        </w:tc>
        <w:tc>
          <w:tcPr>
            <w:tcW w:w="1710" w:type="dxa"/>
            <w:vAlign w:val="center"/>
          </w:tcPr>
          <w:p w:rsidR="0024249C" w:rsidRDefault="0024249C" w:rsidP="00050A5C">
            <w:pPr>
              <w:pStyle w:val="Tabletext"/>
            </w:pPr>
            <w:r>
              <w:t>0.00</w:t>
            </w:r>
            <w:r>
              <w:t>39</w:t>
            </w:r>
            <w:r>
              <w:t xml:space="preserve"> ± 0.000</w:t>
            </w:r>
            <w:r>
              <w:t>4</w:t>
            </w:r>
            <w:r>
              <w:t xml:space="preserve"> R/mV</w:t>
            </w:r>
          </w:p>
        </w:tc>
        <w:tc>
          <w:tcPr>
            <w:tcW w:w="1710" w:type="dxa"/>
            <w:vAlign w:val="center"/>
          </w:tcPr>
          <w:p w:rsidR="0024249C" w:rsidRDefault="0024249C" w:rsidP="00050A5C">
            <w:pPr>
              <w:pStyle w:val="Tabletext"/>
            </w:pPr>
            <w:r>
              <w:t xml:space="preserve">1.8 ± 0.2 </w:t>
            </w:r>
          </w:p>
        </w:tc>
        <w:tc>
          <w:tcPr>
            <w:tcW w:w="1710" w:type="dxa"/>
            <w:vAlign w:val="center"/>
          </w:tcPr>
          <w:p w:rsidR="0024249C" w:rsidRDefault="0024249C" w:rsidP="00050A5C">
            <w:pPr>
              <w:pStyle w:val="Tabletext"/>
            </w:pPr>
            <w:r>
              <w:t>18 ± 3</w:t>
            </w:r>
            <w:r>
              <w:t xml:space="preserve"> mV</w:t>
            </w:r>
          </w:p>
        </w:tc>
        <w:tc>
          <w:tcPr>
            <w:tcW w:w="1800" w:type="dxa"/>
            <w:vAlign w:val="center"/>
          </w:tcPr>
          <w:p w:rsidR="0024249C" w:rsidRDefault="0024249C" w:rsidP="00050A5C">
            <w:pPr>
              <w:pStyle w:val="Tabletext"/>
            </w:pPr>
            <w:r>
              <w:t>150 mV</w:t>
            </w:r>
          </w:p>
        </w:tc>
      </w:tr>
    </w:tbl>
    <w:p w:rsidR="0024249C" w:rsidRDefault="0024249C" w:rsidP="0024249C">
      <w:pPr>
        <w:pStyle w:val="Textnoindent"/>
        <w:rPr>
          <w:b/>
        </w:rPr>
      </w:pPr>
    </w:p>
    <w:p w:rsidR="0024249C" w:rsidRPr="004A2A4D" w:rsidRDefault="0024249C" w:rsidP="0024249C">
      <w:pPr>
        <w:pStyle w:val="Textnoindent"/>
      </w:pPr>
      <w:r>
        <w:rPr>
          <w:b/>
        </w:rPr>
        <w:t>Fig. 1, S</w:t>
      </w:r>
      <w:r>
        <w:rPr>
          <w:b/>
        </w:rPr>
        <w:t>ource Data 3</w:t>
      </w:r>
      <w:r>
        <w:rPr>
          <w:b/>
        </w:rPr>
        <w:t xml:space="preserve">. </w:t>
      </w:r>
      <w:r>
        <w:t>Comparison of optical approaches to absolute V</w:t>
      </w:r>
      <w:r w:rsidRPr="00100706">
        <w:rPr>
          <w:vertAlign w:val="subscript"/>
        </w:rPr>
        <w:t>mem</w:t>
      </w:r>
      <w:r>
        <w:t xml:space="preserve"> determination in HEK293T cells.</w:t>
      </w:r>
      <w:r>
        <w:t xml:space="preserve"> </w:t>
      </w:r>
      <w:r w:rsidRPr="00100706">
        <w:t xml:space="preserve">Data are compiled from </w:t>
      </w:r>
      <w:r w:rsidRPr="00D4534E">
        <w:rPr>
          <w:b/>
        </w:rPr>
        <w:t>Fig. 1</w:t>
      </w:r>
      <w:r>
        <w:t xml:space="preserve"> (VF-FLIM</w:t>
      </w:r>
      <w:r>
        <w:t>, this work</w:t>
      </w:r>
      <w:r>
        <w:t>)</w:t>
      </w:r>
      <w:r w:rsidRPr="00100706">
        <w:t xml:space="preserve">, </w:t>
      </w:r>
      <w:r w:rsidRPr="00D4534E">
        <w:rPr>
          <w:b/>
        </w:rPr>
        <w:t xml:space="preserve">Fig. 1 – supplement </w:t>
      </w:r>
      <w:r w:rsidRPr="00D4534E">
        <w:rPr>
          <w:b/>
        </w:rPr>
        <w:t>4</w:t>
      </w:r>
      <w:r>
        <w:t xml:space="preserve"> (CAESR</w:t>
      </w:r>
      <w:r>
        <w:t xml:space="preserve"> </w:t>
      </w:r>
      <w:r>
        <w:fldChar w:fldCharType="begin" w:fldLock="1"/>
      </w:r>
      <w:r>
        <w:instrText>ADDIN CSL_CITATION {"citationItems":[{"id":"ITEM-1","itemData":{"DOI":"10.1016/j.bpj.2015.07.038","ISSN":"00063495","author":[{"dropping-particle":"","family":"Brinks","given":"Daan","non-dropping-particle":"","parse-names":false,"suffix":""},{"dropping-particle":"","family":"Klein","given":"Aaron J.","non-dropping-particle":"","parse-names":false,"suffix":""},{"dropping-particle":"","family":"Cohen","given":"Adam E.","non-dropping-particle":"","parse-names":false,"suffix":""}],"container-title":"Biophysical Journal","id":"ITEM-1","issue":"5","issued":{"date-parts":[["2015"]]},"page":"914-921","publisher":"Biophysical Society","title":"Two-photon lifetime imaging of voltage indicating proteins as a probe of absolute membrane voltage","type":"article-journal","volume":"109"},"uris":["http://www.mendeley.com/documents/?uuid=bdc3246e-92b5-427d-a475-a7226b8fc95b"]}],"mendeley":{"formattedCitation":"&lt;sup&gt;27&lt;/sup&gt;","plainTextFormattedCitation":"27","previouslyFormattedCitation":"&lt;sup&gt;27&lt;/sup&gt;"},"properties":{"noteIndex":0},"schema":"https://github.com/citation-style-language/schema/raw/master/csl-citation.json"}</w:instrText>
      </w:r>
      <w:r>
        <w:fldChar w:fldCharType="separate"/>
      </w:r>
      <w:r w:rsidRPr="00DA7E6E">
        <w:rPr>
          <w:noProof/>
          <w:vertAlign w:val="superscript"/>
        </w:rPr>
        <w:t>27</w:t>
      </w:r>
      <w:r>
        <w:fldChar w:fldCharType="end"/>
      </w:r>
      <w:r>
        <w:t>)</w:t>
      </w:r>
      <w:r w:rsidRPr="00100706">
        <w:t>, and</w:t>
      </w:r>
      <w:r w:rsidRPr="00100706">
        <w:t xml:space="preserve"> </w:t>
      </w:r>
      <w:r w:rsidRPr="00D4534E">
        <w:rPr>
          <w:b/>
        </w:rPr>
        <w:t>Fig.</w:t>
      </w:r>
      <w:r w:rsidRPr="00D4534E">
        <w:rPr>
          <w:b/>
        </w:rPr>
        <w:t xml:space="preserve"> </w:t>
      </w:r>
      <w:r w:rsidRPr="00D4534E">
        <w:rPr>
          <w:b/>
        </w:rPr>
        <w:t xml:space="preserve">1 – supplement </w:t>
      </w:r>
      <w:r w:rsidRPr="00D4534E">
        <w:rPr>
          <w:b/>
        </w:rPr>
        <w:t>5</w:t>
      </w:r>
      <w:r>
        <w:t xml:space="preserve"> (Di-8-ANEPPS</w:t>
      </w:r>
      <w:r>
        <w:t xml:space="preserve"> </w:t>
      </w:r>
      <w:r>
        <w:fldChar w:fldCharType="begin" w:fldLock="1"/>
      </w:r>
      <w:r>
        <w:instrText>ADDIN CSL_CITATION {"citationItems":[{"id":"ITEM-1","itemData":{"DOI":"10.1016/S0006-3495(98)77765-3","ISSN":"00063495","abstract":"An experimental method has been established to measure the electric properties of a cell membrane by combination of patch clamp and dual- wavelength ratio imaging of a fluorescent potentiometric dye, 1-(3- sulfonatopropyl)-4-[β[2-(di-n-octylamino)-6-naphthyl]vinyl]pyridinium betaine (di-8-ANEPPS). Pairs of fluorescence images from the dye-stained membrane of neuroblastoma N1E-115 cells excited at two wavelengths were initially obtained to calculate ratio images corresponding to the resting transmembrane potential. Subsequently, a whole-cell patch was established and the membrane potential clamped to levels varying from - 100 to + 60 mV; at each voltage, a pair of dual-wavelength images were acquired to develop a calibration of the fluorescence ratio. Using this method, the resting potentials could accurately be measured showing that the differentiated cells were 17 mV more polarized than undifferentiated cells. The combination of electrical and optical methods can also follow changes in other membrane electric properties, such as dipole potential, and thus permit a detailed analysis of the membrane electrical properties underlying the voltage regulation of ion channels.","author":[{"dropping-particle":"","family":"Zhang","given":"Jing","non-dropping-particle":"","parse-names":false,"suffix":""},{"dropping-particle":"","family":"Davidson","given":"Robert M.","non-dropping-particle":"","parse-names":false,"suffix":""},{"dropping-particle":"De","family":"Wei","given":"Mei","non-dropping-particle":"","parse-names":false,"suffix":""},{"dropping-particle":"","family":"Loew","given":"Leslie M.","non-dropping-particle":"","parse-names":false,"suffix":""}],"container-title":"Biophysical Journal","id":"ITEM-1","issue":"1","issued":{"date-parts":[["1998"]]},"page":"48-53","title":"Membrane electric properties by combined patch clamp and fluorescence ratio imaging in single neurons","type":"article-journal","volume":"74"},"uris":["http://www.mendeley.com/documents/?uuid=b2f9fe1c-55ee-483e-aa62-4a68a67e6f10"]}],"mendeley":{"formattedCitation":"&lt;sup&gt;17&lt;/sup&gt;","plainTextFormattedCitation":"17","previouslyFormattedCitation":"&lt;sup&gt;17&lt;/sup&gt;"},"properties":{"noteIndex":0},"schema":"https://github.com/citation-style-language/schema/raw/master/csl-citation.json"}</w:instrText>
      </w:r>
      <w:r>
        <w:fldChar w:fldCharType="separate"/>
      </w:r>
      <w:r w:rsidRPr="00DA7E6E">
        <w:rPr>
          <w:noProof/>
          <w:vertAlign w:val="superscript"/>
        </w:rPr>
        <w:t>17</w:t>
      </w:r>
      <w:r>
        <w:fldChar w:fldCharType="end"/>
      </w:r>
      <w:r>
        <w:t>)</w:t>
      </w:r>
      <w:r w:rsidRPr="00272392">
        <w:t>.</w:t>
      </w:r>
      <w:r>
        <w:t xml:space="preserve"> </w:t>
      </w:r>
      <w:r>
        <w:t>All data were obtained by simultaneous whole cell voltage clamp</w:t>
      </w:r>
      <w:bookmarkStart w:id="0" w:name="_GoBack"/>
      <w:bookmarkEnd w:id="0"/>
      <w:r>
        <w:t xml:space="preserve"> electrophysiology and optical recording in HEK293T (VF</w:t>
      </w:r>
      <w:r>
        <w:t>-FLIM</w:t>
      </w:r>
      <w:r>
        <w:t xml:space="preserve"> n=17 cells, CAESR n=9, di-8-ANEPPS n=16). </w:t>
      </w:r>
      <w:r>
        <w:t xml:space="preserve">Calculation of intra and inter cell </w:t>
      </w:r>
      <w:r>
        <w:t xml:space="preserve">accuracies are performed via </w:t>
      </w:r>
      <w:r>
        <w:t xml:space="preserve">root-mean-square deviation (RMSD) </w:t>
      </w:r>
      <w:r>
        <w:t>and</w:t>
      </w:r>
      <w:r>
        <w:t xml:space="preserve"> discussed in detail in the Methods (see </w:t>
      </w:r>
      <w:r w:rsidRPr="00D4534E">
        <w:rPr>
          <w:b/>
        </w:rPr>
        <w:t>Resolution of V</w:t>
      </w:r>
      <w:r w:rsidRPr="00D4534E">
        <w:rPr>
          <w:b/>
        </w:rPr>
        <w:t>F</w:t>
      </w:r>
      <w:r w:rsidRPr="00D4534E">
        <w:rPr>
          <w:b/>
        </w:rPr>
        <w:t>-FLIM…</w:t>
      </w:r>
      <w:r>
        <w:t xml:space="preserve">). </w:t>
      </w:r>
      <w:r>
        <w:t xml:space="preserve">Regions of interest were chosen at the plasma membrane in all cases. </w:t>
      </w:r>
      <w:r>
        <w:t>Di-8-</w:t>
      </w:r>
      <w:r>
        <w:t>ANEPPS data are</w:t>
      </w:r>
      <w:r>
        <w:t xml:space="preserve"> </w:t>
      </w:r>
      <w:r>
        <w:t>presented as the</w:t>
      </w:r>
      <w:r>
        <w:t xml:space="preserve"> ratio of signal obtained with blue excitation to</w:t>
      </w:r>
      <w:r>
        <w:t xml:space="preserve"> </w:t>
      </w:r>
      <w:r>
        <w:t>signal obtained with</w:t>
      </w:r>
      <w:r>
        <w:t xml:space="preserve"> green excitation (</w:t>
      </w:r>
      <w:r>
        <w:t>R</w:t>
      </w:r>
      <w:r>
        <w:t xml:space="preserve">, </w:t>
      </w:r>
      <w:r>
        <w:t xml:space="preserve">see </w:t>
      </w:r>
      <w:r w:rsidRPr="00D4534E">
        <w:rPr>
          <w:b/>
        </w:rPr>
        <w:t>Methods</w:t>
      </w:r>
      <w:r>
        <w:t>)</w:t>
      </w:r>
      <w:r>
        <w:t xml:space="preserve"> and are not normalized to the 0 mV </w:t>
      </w:r>
      <w:r>
        <w:t>R</w:t>
      </w:r>
      <w:r>
        <w:t xml:space="preserve">. </w:t>
      </w:r>
    </w:p>
    <w:p w:rsidR="0024249C" w:rsidRDefault="0024249C"/>
    <w:sectPr w:rsidR="002424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49C"/>
    <w:rsid w:val="0024249C"/>
    <w:rsid w:val="009A4D7E"/>
    <w:rsid w:val="00D45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3FC9E"/>
  <w15:chartTrackingRefBased/>
  <w15:docId w15:val="{18633F5B-2F7B-47A8-A188-5DDDF6AB2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249C"/>
    <w:pPr>
      <w:spacing w:after="0" w:line="480" w:lineRule="auto"/>
      <w:ind w:firstLine="720"/>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4249C"/>
    <w:rPr>
      <w:b/>
      <w:color w:val="auto"/>
      <w:u w:val="none"/>
    </w:rPr>
  </w:style>
  <w:style w:type="paragraph" w:customStyle="1" w:styleId="Tabletext">
    <w:name w:val="Table text"/>
    <w:basedOn w:val="Normal"/>
    <w:qFormat/>
    <w:rsid w:val="0024249C"/>
    <w:pPr>
      <w:spacing w:line="240" w:lineRule="auto"/>
      <w:ind w:firstLine="0"/>
      <w:jc w:val="center"/>
    </w:pPr>
    <w:rPr>
      <w:szCs w:val="24"/>
    </w:rPr>
  </w:style>
  <w:style w:type="table" w:styleId="TableGrid">
    <w:name w:val="Table Grid"/>
    <w:basedOn w:val="TableNormal"/>
    <w:uiPriority w:val="39"/>
    <w:rsid w:val="002424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oindent">
    <w:name w:val="Text no indent"/>
    <w:basedOn w:val="Normal"/>
    <w:link w:val="TextnoindentChar"/>
    <w:qFormat/>
    <w:rsid w:val="0024249C"/>
    <w:pPr>
      <w:ind w:firstLine="0"/>
    </w:pPr>
    <w:rPr>
      <w:rFonts w:eastAsia="Arial"/>
    </w:rPr>
  </w:style>
  <w:style w:type="character" w:customStyle="1" w:styleId="TextnoindentChar">
    <w:name w:val="Text no indent Char"/>
    <w:basedOn w:val="DefaultParagraphFont"/>
    <w:link w:val="Textnoindent"/>
    <w:rsid w:val="0024249C"/>
    <w:rPr>
      <w:rFonts w:ascii="Times New Roman" w:eastAsia="Arial" w:hAnsi="Times New Roman" w:cs="Times New Roman"/>
      <w:sz w:val="24"/>
      <w:szCs w:val="20"/>
    </w:rPr>
  </w:style>
  <w:style w:type="character" w:styleId="FollowedHyperlink">
    <w:name w:val="FollowedHyperlink"/>
    <w:basedOn w:val="DefaultParagraphFont"/>
    <w:uiPriority w:val="99"/>
    <w:semiHidden/>
    <w:unhideWhenUsed/>
    <w:rsid w:val="002424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0E8A5-EBD1-46DC-A601-D4972FA63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712</Words>
  <Characters>4061</Characters>
  <Application>Microsoft Office Word</Application>
  <DocSecurity>0</DocSecurity>
  <Lines>33</Lines>
  <Paragraphs>9</Paragraphs>
  <ScaleCrop>false</ScaleCrop>
  <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JLD</dc:creator>
  <cp:keywords/>
  <dc:description/>
  <cp:lastModifiedBy>JLD</cp:lastModifiedBy>
  <cp:revision>2</cp:revision>
  <dcterms:created xsi:type="dcterms:W3CDTF">2019-06-25T19:10:00Z</dcterms:created>
  <dcterms:modified xsi:type="dcterms:W3CDTF">2019-06-25T19:11:00Z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http://www.zotero.org/styles/acs-chemical-biology</vt:lpwstr>
  </property>
  <property fmtid="{D5CDD505-2E9C-101B-9397-08002B2CF9AE}" pid="3" name="Mendeley Recent Style Name 0_1">
    <vt:lpwstr>ACS Chemical Biology</vt:lpwstr>
  </property>
  <property fmtid="{D5CDD505-2E9C-101B-9397-08002B2CF9AE}" pid="4" name="Mendeley Recent Style Id 1_1">
    <vt:lpwstr>http://www.zotero.org/styles/american-chemical-society</vt:lpwstr>
  </property>
  <property fmtid="{D5CDD505-2E9C-101B-9397-08002B2CF9AE}" pid="5" name="Mendeley Recent Style Name 1_1">
    <vt:lpwstr>American Chemical Society</vt:lpwstr>
  </property>
  <property fmtid="{D5CDD505-2E9C-101B-9397-08002B2CF9AE}" pid="6" name="Mendeley Recent Style Id 2_1">
    <vt:lpwstr>http://www.zotero.org/styles/american-medical-association</vt:lpwstr>
  </property>
  <property fmtid="{D5CDD505-2E9C-101B-9397-08002B2CF9AE}" pid="7" name="Mendeley Recent Style Name 2_1">
    <vt:lpwstr>American Medical Association</vt:lpwstr>
  </property>
  <property fmtid="{D5CDD505-2E9C-101B-9397-08002B2CF9AE}" pid="8" name="Mendeley Recent Style Id 3_1">
    <vt:lpwstr>http://www.zotero.org/styles/american-political-science-association</vt:lpwstr>
  </property>
  <property fmtid="{D5CDD505-2E9C-101B-9397-08002B2CF9AE}" pid="9" name="Mendeley Recent Style Name 3_1">
    <vt:lpwstr>American Political Science Association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