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583" w:rsidRPr="00F709FC" w:rsidRDefault="001C5583" w:rsidP="001C5583">
      <w:pPr>
        <w:ind w:firstLine="0"/>
      </w:pPr>
      <w:r w:rsidRPr="001C5583">
        <w:rPr>
          <w:b/>
        </w:rPr>
        <w:t>Fig. 3, Source Data 1.</w:t>
      </w:r>
      <w:r w:rsidRPr="00C445A0">
        <w:t xml:space="preserve"> V</w:t>
      </w:r>
      <w:r w:rsidRPr="00100706">
        <w:rPr>
          <w:vertAlign w:val="subscript"/>
        </w:rPr>
        <w:t>mem</w:t>
      </w:r>
      <w:r w:rsidRPr="00C445A0">
        <w:t xml:space="preserve"> measurements made with VF-FLIM agree with previously reported values</w:t>
      </w:r>
      <w:r w:rsidRPr="00C445A0">
        <w:rPr>
          <w:rStyle w:val="Heading3Char"/>
        </w:rPr>
        <w:t>.</w:t>
      </w:r>
      <w:r w:rsidRPr="00467DC0">
        <w:t xml:space="preserve"> </w:t>
      </w:r>
    </w:p>
    <w:tbl>
      <w:tblPr>
        <w:tblpPr w:leftFromText="180" w:rightFromText="180" w:vertAnchor="text" w:horzAnchor="margin" w:tblpY="1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1460"/>
        <w:gridCol w:w="1440"/>
        <w:gridCol w:w="3510"/>
        <w:gridCol w:w="1075"/>
      </w:tblGrid>
      <w:tr w:rsidR="001C5583" w:rsidRPr="00EB3919" w:rsidTr="00050A5C">
        <w:trPr>
          <w:trHeight w:val="352"/>
        </w:trPr>
        <w:tc>
          <w:tcPr>
            <w:tcW w:w="997" w:type="pct"/>
            <w:shd w:val="clear" w:color="auto" w:fill="auto"/>
            <w:vAlign w:val="center"/>
          </w:tcPr>
          <w:p w:rsidR="001C5583" w:rsidRPr="00F41201" w:rsidRDefault="001C5583" w:rsidP="00050A5C">
            <w:pPr>
              <w:pStyle w:val="Tabletext"/>
              <w:rPr>
                <w:rFonts w:eastAsia="Arial"/>
                <w:highlight w:val="yellow"/>
              </w:rPr>
            </w:pPr>
          </w:p>
        </w:tc>
        <w:tc>
          <w:tcPr>
            <w:tcW w:w="1551" w:type="pct"/>
            <w:gridSpan w:val="2"/>
            <w:shd w:val="clear" w:color="auto" w:fill="auto"/>
            <w:vAlign w:val="center"/>
          </w:tcPr>
          <w:p w:rsidR="001C5583" w:rsidRPr="00F41201" w:rsidRDefault="001C5583" w:rsidP="00050A5C">
            <w:pPr>
              <w:pStyle w:val="Tabletext"/>
              <w:rPr>
                <w:rFonts w:eastAsia="Arial"/>
                <w:highlight w:val="yellow"/>
              </w:rPr>
            </w:pPr>
            <w:r w:rsidRPr="00EB3919">
              <w:rPr>
                <w:rFonts w:eastAsia="Arial"/>
              </w:rPr>
              <w:t>VF-FLIM</w:t>
            </w:r>
            <w:r>
              <w:rPr>
                <w:rFonts w:eastAsia="Arial"/>
              </w:rPr>
              <w:t xml:space="preserve"> </w:t>
            </w:r>
          </w:p>
        </w:tc>
        <w:tc>
          <w:tcPr>
            <w:tcW w:w="2452" w:type="pct"/>
            <w:gridSpan w:val="2"/>
            <w:vAlign w:val="center"/>
          </w:tcPr>
          <w:p w:rsidR="001C5583" w:rsidRPr="00EB3919" w:rsidRDefault="001C5583" w:rsidP="00050A5C">
            <w:pPr>
              <w:pStyle w:val="Tabletext"/>
              <w:rPr>
                <w:rFonts w:eastAsia="Arial"/>
              </w:rPr>
            </w:pPr>
            <w:r w:rsidRPr="00EB3919">
              <w:rPr>
                <w:rFonts w:eastAsia="Arial"/>
              </w:rPr>
              <w:t>Patch-clamp electrophysiology</w:t>
            </w:r>
          </w:p>
        </w:tc>
      </w:tr>
      <w:tr w:rsidR="001C5583" w:rsidRPr="00EB3919" w:rsidTr="00050A5C">
        <w:trPr>
          <w:trHeight w:val="910"/>
        </w:trPr>
        <w:tc>
          <w:tcPr>
            <w:tcW w:w="997" w:type="pct"/>
            <w:shd w:val="clear" w:color="auto" w:fill="auto"/>
            <w:vAlign w:val="center"/>
          </w:tcPr>
          <w:p w:rsidR="001C5583" w:rsidRPr="00EB3919" w:rsidRDefault="001C5583" w:rsidP="00050A5C">
            <w:pPr>
              <w:pStyle w:val="Tabletext"/>
              <w:rPr>
                <w:rFonts w:eastAsia="Arial"/>
              </w:rPr>
            </w:pPr>
            <w:r w:rsidRPr="00EB3919">
              <w:rPr>
                <w:rFonts w:eastAsia="Arial"/>
              </w:rPr>
              <w:t xml:space="preserve">Cell </w:t>
            </w:r>
            <w:r>
              <w:rPr>
                <w:rFonts w:eastAsia="Arial"/>
              </w:rPr>
              <w:t>Line</w:t>
            </w:r>
          </w:p>
        </w:tc>
        <w:tc>
          <w:tcPr>
            <w:tcW w:w="781" w:type="pct"/>
            <w:shd w:val="clear" w:color="auto" w:fill="auto"/>
            <w:vAlign w:val="center"/>
          </w:tcPr>
          <w:p w:rsidR="001C5583" w:rsidRPr="00EB3919" w:rsidRDefault="001C5583" w:rsidP="00050A5C">
            <w:pPr>
              <w:pStyle w:val="Tabletext"/>
              <w:rPr>
                <w:rFonts w:eastAsia="Arial"/>
              </w:rPr>
            </w:pPr>
            <w:r w:rsidRPr="00F41201">
              <w:rPr>
                <w:rFonts w:eastAsia="Arial"/>
              </w:rPr>
              <w:t>Resting V</w:t>
            </w:r>
            <w:r w:rsidRPr="00F41201">
              <w:rPr>
                <w:rFonts w:eastAsia="Arial"/>
                <w:vertAlign w:val="subscript"/>
              </w:rPr>
              <w:t>mem</w:t>
            </w:r>
            <w:r w:rsidRPr="00F41201">
              <w:rPr>
                <w:rFonts w:eastAsia="Arial"/>
              </w:rPr>
              <w:t xml:space="preserve"> </w:t>
            </w:r>
            <w:r>
              <w:rPr>
                <w:rFonts w:eastAsia="Arial"/>
              </w:rPr>
              <w:t>(mean ± SEM)</w:t>
            </w:r>
          </w:p>
        </w:tc>
        <w:tc>
          <w:tcPr>
            <w:tcW w:w="770" w:type="pct"/>
            <w:shd w:val="clear" w:color="auto" w:fill="auto"/>
            <w:vAlign w:val="center"/>
          </w:tcPr>
          <w:p w:rsidR="001C5583" w:rsidRPr="00EB3919" w:rsidRDefault="001C5583" w:rsidP="00050A5C">
            <w:pPr>
              <w:pStyle w:val="Tabletext"/>
              <w:rPr>
                <w:rFonts w:eastAsia="Arial"/>
              </w:rPr>
            </w:pPr>
            <w:r w:rsidRPr="00F41201">
              <w:rPr>
                <w:rFonts w:eastAsia="Arial"/>
              </w:rPr>
              <w:t>High K</w:t>
            </w:r>
            <w:r w:rsidRPr="00F41201">
              <w:rPr>
                <w:rFonts w:eastAsia="Arial"/>
                <w:vertAlign w:val="superscript"/>
              </w:rPr>
              <w:t xml:space="preserve">+ </w:t>
            </w:r>
            <w:r w:rsidRPr="00F41201">
              <w:rPr>
                <w:rFonts w:eastAsia="Arial"/>
              </w:rPr>
              <w:t>V</w:t>
            </w:r>
            <w:r w:rsidRPr="00F41201">
              <w:rPr>
                <w:rFonts w:eastAsia="Arial"/>
                <w:vertAlign w:val="subscript"/>
              </w:rPr>
              <w:t>mem</w:t>
            </w:r>
            <w:r w:rsidRPr="00F41201">
              <w:rPr>
                <w:rFonts w:eastAsia="Arial"/>
              </w:rPr>
              <w:t xml:space="preserve"> </w:t>
            </w:r>
            <w:r>
              <w:rPr>
                <w:rFonts w:eastAsia="Arial"/>
              </w:rPr>
              <w:t>(mean ± SEM)</w:t>
            </w:r>
          </w:p>
        </w:tc>
        <w:tc>
          <w:tcPr>
            <w:tcW w:w="1877" w:type="pct"/>
            <w:vAlign w:val="center"/>
          </w:tcPr>
          <w:p w:rsidR="001C5583" w:rsidRDefault="001C5583" w:rsidP="00050A5C">
            <w:pPr>
              <w:pStyle w:val="Tabletext"/>
              <w:rPr>
                <w:rFonts w:eastAsia="Arial"/>
              </w:rPr>
            </w:pPr>
            <w:r>
              <w:rPr>
                <w:rFonts w:eastAsia="Arial"/>
              </w:rPr>
              <w:t>Compiled reported average or median V</w:t>
            </w:r>
            <w:r w:rsidRPr="00EA5F97">
              <w:rPr>
                <w:rFonts w:eastAsia="Arial"/>
                <w:vertAlign w:val="subscript"/>
              </w:rPr>
              <w:t>mem</w:t>
            </w:r>
            <w:r>
              <w:rPr>
                <w:rFonts w:eastAsia="Arial"/>
              </w:rPr>
              <w:t xml:space="preserve"> in cells at rest</w:t>
            </w:r>
          </w:p>
        </w:tc>
        <w:tc>
          <w:tcPr>
            <w:tcW w:w="575" w:type="pct"/>
            <w:shd w:val="clear" w:color="auto" w:fill="auto"/>
            <w:vAlign w:val="center"/>
          </w:tcPr>
          <w:p w:rsidR="001C5583" w:rsidRPr="00EA5F97" w:rsidRDefault="001C5583" w:rsidP="00050A5C">
            <w:pPr>
              <w:pStyle w:val="Tabletext"/>
              <w:rPr>
                <w:rFonts w:eastAsia="Arial"/>
              </w:rPr>
            </w:pPr>
            <w:r>
              <w:rPr>
                <w:rFonts w:eastAsia="Arial"/>
              </w:rPr>
              <w:t xml:space="preserve">Mean of </w:t>
            </w:r>
            <w:proofErr w:type="spellStart"/>
            <w:r>
              <w:rPr>
                <w:rFonts w:eastAsia="Arial"/>
              </w:rPr>
              <w:t>ephys</w:t>
            </w:r>
            <w:proofErr w:type="spellEnd"/>
            <w:r>
              <w:rPr>
                <w:rFonts w:eastAsia="Arial"/>
              </w:rPr>
              <w:t>. values</w:t>
            </w:r>
          </w:p>
        </w:tc>
      </w:tr>
      <w:tr w:rsidR="001C5583" w:rsidRPr="00EB3919" w:rsidTr="00050A5C">
        <w:trPr>
          <w:trHeight w:val="613"/>
        </w:trPr>
        <w:tc>
          <w:tcPr>
            <w:tcW w:w="997" w:type="pct"/>
            <w:shd w:val="clear" w:color="auto" w:fill="auto"/>
            <w:vAlign w:val="center"/>
          </w:tcPr>
          <w:p w:rsidR="001C5583" w:rsidRPr="00EB3919" w:rsidRDefault="001C5583" w:rsidP="00050A5C">
            <w:pPr>
              <w:pStyle w:val="Tabletext"/>
              <w:rPr>
                <w:rFonts w:eastAsia="Arial"/>
              </w:rPr>
            </w:pPr>
            <w:r w:rsidRPr="00EB3919">
              <w:rPr>
                <w:rFonts w:eastAsia="Arial"/>
              </w:rPr>
              <w:t>A431</w:t>
            </w:r>
          </w:p>
        </w:tc>
        <w:tc>
          <w:tcPr>
            <w:tcW w:w="781" w:type="pct"/>
            <w:shd w:val="clear" w:color="auto" w:fill="auto"/>
            <w:vAlign w:val="center"/>
          </w:tcPr>
          <w:p w:rsidR="001C5583" w:rsidRPr="00EB3919" w:rsidRDefault="001C5583" w:rsidP="00050A5C">
            <w:pPr>
              <w:pStyle w:val="Tabletext"/>
              <w:rPr>
                <w:rFonts w:eastAsia="Arial"/>
                <w:highlight w:val="yellow"/>
              </w:rPr>
            </w:pPr>
            <w:r w:rsidRPr="00F41201">
              <w:rPr>
                <w:rFonts w:eastAsia="Arial"/>
              </w:rPr>
              <w:t xml:space="preserve">-41 ± </w:t>
            </w:r>
            <w:r>
              <w:rPr>
                <w:rFonts w:eastAsia="Arial"/>
              </w:rPr>
              <w:t>5</w:t>
            </w:r>
          </w:p>
        </w:tc>
        <w:tc>
          <w:tcPr>
            <w:tcW w:w="770" w:type="pct"/>
            <w:shd w:val="clear" w:color="auto" w:fill="auto"/>
            <w:vAlign w:val="center"/>
          </w:tcPr>
          <w:p w:rsidR="001C5583" w:rsidRPr="00F41201" w:rsidRDefault="001C5583" w:rsidP="00050A5C">
            <w:pPr>
              <w:pStyle w:val="Tabletext"/>
              <w:rPr>
                <w:rFonts w:eastAsia="Arial"/>
                <w:highlight w:val="yellow"/>
              </w:rPr>
            </w:pPr>
            <w:r w:rsidRPr="00F41201">
              <w:rPr>
                <w:rFonts w:eastAsia="Arial"/>
              </w:rPr>
              <w:t xml:space="preserve">-26 ± </w:t>
            </w:r>
            <w:r>
              <w:rPr>
                <w:rFonts w:eastAsia="Arial"/>
              </w:rPr>
              <w:t>5</w:t>
            </w:r>
          </w:p>
        </w:tc>
        <w:tc>
          <w:tcPr>
            <w:tcW w:w="1877" w:type="pct"/>
            <w:vAlign w:val="center"/>
          </w:tcPr>
          <w:p w:rsidR="001C5583" w:rsidRDefault="001C5583" w:rsidP="00050A5C">
            <w:pPr>
              <w:pStyle w:val="Tabletext"/>
              <w:rPr>
                <w:rFonts w:eastAsia="Arial"/>
              </w:rPr>
            </w:pPr>
            <w:r>
              <w:rPr>
                <w:rFonts w:eastAsia="Arial"/>
              </w:rPr>
              <w:t>-64 ± 1 (mean ± SEM)</w:t>
            </w:r>
            <w:r>
              <w:rPr>
                <w:rFonts w:eastAsia="Arial"/>
              </w:rPr>
              <w:fldChar w:fldCharType="begin" w:fldLock="1"/>
            </w:r>
            <w:r>
              <w:rPr>
                <w:rFonts w:eastAsia="Arial"/>
              </w:rPr>
              <w:instrText>ADDIN CSL_CITATION {"citationItems":[{"id":"ITEM-1","itemData":{"ISSN":"00219258","PMID":"3484478","abstract":"Addition of epidermal growth factor (EGF) to human A431 cells causes a 2-4-fold increase in cytoplasmic free Ca2+ concentration ([Ca2+]i) as measured by quin-2 fluorescence. The EGF effect is rapid but transient: [Ca2+]i reaches a maximum within 30-60 s and then returns to its resting value (182 +/- 3 nM) over a 5-8-min period. The EGF-induced [Ca2+]i rise is completely dependent on extracellular Ca2+, is abolished by La3+ and Mn2+, and is not accompanied by changes in membrane potential (mean values of -64 mV). Serum also elicits a transient [Ca2+]i rise in A431 cells, but this response is not dependent on the presence of extracellular Ca2+. The tumor promoter 12-O-tetradecanoylphorbol 13-acetate completely inhibits the EGF- and serum-induced increases in [Ca2+]i without affecting basal [Ca2+]i levels. Our results, together with previous 45Ca2+ uptake data (Sawyer, S. T., and Cohen, S. (1981) Biochemistry 20, 6280-6286), suggest that while serum factors trigger the release of Ca2+ from internal stores, EGF acts by opening a voltage-independent Ca2+ channel in the plasma membrane. The data further suggest a role for protein kinase C in attenuating the Ca2+-mobilizing mechanisms of EGF and serum.","author":[{"dropping-particle":"","family":"Moolenaar","given":"W. H.","non-dropping-particle":"","parse-names":false,"suffix":""},{"dropping-particle":"","family":"Aerts","given":"R. J.","non-dropping-particle":"","parse-names":false,"suffix":""},{"dropping-particle":"","family":"Tertoolen","given":"L. G J","non-dropping-particle":"","parse-names":false,"suffix":""},{"dropping-particle":"","family":"Laat","given":"S. W.","non-dropping-particle":"De","parse-names":false,"suffix":""}],"container-title":"Journal of Biological Chemistry","id":"ITEM-1","issue":"1","issued":{"date-parts":[["1986"]]},"page":"279-284","title":"The epidermal growth factor-induced calcium signal in A431 cells","type":"article-journal","volume":"261"},"uris":["http://www.mendeley.com/documents/?uuid=caad69bc-7a6c-4e4f-bac7-5abd84d07043"]}],"mendeley":{"formattedCitation":"&lt;sup&gt;42&lt;/sup&gt;","plainTextFormattedCitation":"42","previouslyFormattedCitation":"&lt;sup&gt;42&lt;/sup&gt;"},"properties":{"noteIndex":0},"schema":"https://github.com/citation-style-language/schema/raw/master/csl-citation.json"}</w:instrText>
            </w:r>
            <w:r>
              <w:rPr>
                <w:rFonts w:eastAsia="Arial"/>
              </w:rPr>
              <w:fldChar w:fldCharType="separate"/>
            </w:r>
            <w:r w:rsidRPr="00DA7E6E">
              <w:rPr>
                <w:rFonts w:eastAsia="Arial"/>
                <w:noProof/>
                <w:vertAlign w:val="superscript"/>
              </w:rPr>
              <w:t>42</w:t>
            </w:r>
            <w:r>
              <w:rPr>
                <w:rFonts w:eastAsia="Arial"/>
              </w:rPr>
              <w:fldChar w:fldCharType="end"/>
            </w:r>
          </w:p>
        </w:tc>
        <w:tc>
          <w:tcPr>
            <w:tcW w:w="575" w:type="pct"/>
            <w:shd w:val="clear" w:color="auto" w:fill="auto"/>
            <w:vAlign w:val="center"/>
          </w:tcPr>
          <w:p w:rsidR="001C5583" w:rsidRPr="004D1246" w:rsidRDefault="001C5583" w:rsidP="00050A5C">
            <w:pPr>
              <w:pStyle w:val="Tabletext"/>
              <w:rPr>
                <w:rFonts w:eastAsia="Arial"/>
              </w:rPr>
            </w:pPr>
            <w:r>
              <w:rPr>
                <w:rFonts w:eastAsia="Arial"/>
              </w:rPr>
              <w:t>-64</w:t>
            </w:r>
          </w:p>
        </w:tc>
      </w:tr>
      <w:tr w:rsidR="001C5583" w:rsidRPr="00EB3919" w:rsidTr="00050A5C">
        <w:trPr>
          <w:trHeight w:val="964"/>
        </w:trPr>
        <w:tc>
          <w:tcPr>
            <w:tcW w:w="997" w:type="pct"/>
            <w:shd w:val="clear" w:color="auto" w:fill="auto"/>
            <w:vAlign w:val="center"/>
          </w:tcPr>
          <w:p w:rsidR="001C5583" w:rsidRPr="00EB3919" w:rsidRDefault="001C5583" w:rsidP="00050A5C">
            <w:pPr>
              <w:pStyle w:val="Tabletext"/>
              <w:rPr>
                <w:rFonts w:eastAsia="Arial"/>
              </w:rPr>
            </w:pPr>
            <w:r w:rsidRPr="00EB3919">
              <w:rPr>
                <w:rFonts w:eastAsia="Arial"/>
              </w:rPr>
              <w:t>CHO</w:t>
            </w:r>
          </w:p>
        </w:tc>
        <w:tc>
          <w:tcPr>
            <w:tcW w:w="781" w:type="pct"/>
            <w:shd w:val="clear" w:color="auto" w:fill="auto"/>
            <w:vAlign w:val="center"/>
          </w:tcPr>
          <w:p w:rsidR="001C5583" w:rsidRPr="00EB3919" w:rsidRDefault="001C5583" w:rsidP="00050A5C">
            <w:pPr>
              <w:pStyle w:val="Tabletext"/>
              <w:rPr>
                <w:rFonts w:eastAsia="Arial"/>
                <w:highlight w:val="yellow"/>
              </w:rPr>
            </w:pPr>
            <w:r w:rsidRPr="00F41201">
              <w:rPr>
                <w:rFonts w:eastAsia="Arial"/>
              </w:rPr>
              <w:t xml:space="preserve">-53 ± </w:t>
            </w:r>
            <w:r>
              <w:rPr>
                <w:rFonts w:eastAsia="Arial"/>
              </w:rPr>
              <w:t>4</w:t>
            </w:r>
          </w:p>
        </w:tc>
        <w:tc>
          <w:tcPr>
            <w:tcW w:w="770" w:type="pct"/>
            <w:shd w:val="clear" w:color="auto" w:fill="auto"/>
            <w:vAlign w:val="center"/>
          </w:tcPr>
          <w:p w:rsidR="001C5583" w:rsidRPr="00F41201" w:rsidRDefault="001C5583" w:rsidP="00050A5C">
            <w:pPr>
              <w:pStyle w:val="Tabletext"/>
              <w:rPr>
                <w:rFonts w:eastAsia="Arial"/>
                <w:highlight w:val="yellow"/>
              </w:rPr>
            </w:pPr>
            <w:r w:rsidRPr="00F41201">
              <w:rPr>
                <w:rFonts w:eastAsia="Arial"/>
              </w:rPr>
              <w:t xml:space="preserve">-20 ± </w:t>
            </w:r>
            <w:r>
              <w:rPr>
                <w:rFonts w:eastAsia="Arial"/>
              </w:rPr>
              <w:t>4</w:t>
            </w:r>
          </w:p>
        </w:tc>
        <w:tc>
          <w:tcPr>
            <w:tcW w:w="1877" w:type="pct"/>
            <w:vAlign w:val="center"/>
          </w:tcPr>
          <w:p w:rsidR="001C5583" w:rsidRDefault="001C5583" w:rsidP="00050A5C">
            <w:pPr>
              <w:pStyle w:val="Tabletext"/>
              <w:rPr>
                <w:rFonts w:eastAsia="Arial"/>
              </w:rPr>
            </w:pPr>
            <w:r>
              <w:rPr>
                <w:rFonts w:eastAsia="Arial"/>
              </w:rPr>
              <w:t>-21 ± 2 (mean ± SEM, 4 cells)</w:t>
            </w:r>
            <w:r>
              <w:rPr>
                <w:rFonts w:eastAsia="Arial"/>
              </w:rPr>
              <w:fldChar w:fldCharType="begin" w:fldLock="1"/>
            </w:r>
            <w:r>
              <w:rPr>
                <w:rFonts w:eastAsia="Arial"/>
              </w:rPr>
              <w:instrText>ADDIN CSL_CITATION {"citationItems":[{"id":"ITEM-1","itemData":{"ISSN":"1060-6823 (Print)","PMID":"8834000","abstract":"A cDNA clone encoding the human Kv1.3 potassium channel was stably expressed at high levels in a Chinese hamster ovary (CHO) cell line. The expressed currents strongly resemble those recorded from Xenopus oocytes injected with Kv1.3 cRNA, or from resting human T lymphocytes. One function ascribed to Kv1.3 in T lymphocytes is to stabilize the membrane potential, thereby regulating the Ca2+ signalling critical for mitogenic stimulation. In agreement with this hypothesis, we find that the heterologous expression of human Kv1.3 resets the resting potential of CHO cells, setting it to the threshold of activation of Kv1.3. An inhibitor of Kv1.3, margatoxin, depolarized transfected CHO cells to the potential of non-transfected cells. The combination of a steep voltage-dependence of activation with slow and incomplete inactivation appears to confer the ability of the Kv1.3 channel to 'clamp' the Vm of its host cells within a narrow range.","author":[{"dropping-particle":"","family":"Defarias","given":"F P","non-dropping-particle":"","parse-names":false,"suffix":""},{"dropping-particle":"","family":"Stevens","given":"S P","non-dropping-particle":"","parse-names":false,"suffix":""},{"dropping-particle":"","family":"Leonard","given":"R J","non-dropping-particle":"","parse-names":false,"suffix":""}],"container-title":"Receptors &amp; channels","id":"ITEM-1","issue":"4","issued":{"date-parts":[["1995"]]},"page":"273-281","title":"Stable expression of human Kv1.3 potassium channels resets the resting membrane potential of cultured mammalian cells.","type":"article-journal","volume":"3"},"uris":["http://www.mendeley.com/documents/?uuid=55ec7db5-449a-4fb8-a236-08b2400a7971"]}],"mendeley":{"formattedCitation":"&lt;sup&gt;81&lt;/sup&gt;","plainTextFormattedCitation":"81","previouslyFormattedCitation":"&lt;sup&gt;81&lt;/sup&gt;"},"properties":{"noteIndex":0},"schema":"https://github.com/citation-style-language/schema/raw/master/csl-citation.json"}</w:instrText>
            </w:r>
            <w:r>
              <w:rPr>
                <w:rFonts w:eastAsia="Arial"/>
              </w:rPr>
              <w:fldChar w:fldCharType="separate"/>
            </w:r>
            <w:r w:rsidRPr="00DA7E6E">
              <w:rPr>
                <w:rFonts w:eastAsia="Arial"/>
                <w:noProof/>
                <w:vertAlign w:val="superscript"/>
              </w:rPr>
              <w:t>81</w:t>
            </w:r>
            <w:r>
              <w:rPr>
                <w:rFonts w:eastAsia="Arial"/>
              </w:rPr>
              <w:fldChar w:fldCharType="end"/>
            </w:r>
          </w:p>
          <w:p w:rsidR="001C5583" w:rsidRDefault="001C5583" w:rsidP="00050A5C">
            <w:pPr>
              <w:pStyle w:val="Tabletext"/>
              <w:rPr>
                <w:rFonts w:eastAsia="Arial"/>
              </w:rPr>
            </w:pPr>
            <w:r w:rsidRPr="004D1246">
              <w:rPr>
                <w:rFonts w:eastAsia="Arial"/>
              </w:rPr>
              <w:t>-3</w:t>
            </w:r>
            <w:r>
              <w:rPr>
                <w:rFonts w:eastAsia="Arial"/>
              </w:rPr>
              <w:t>1 ± 2.6 (mean ± SEM)</w:t>
            </w:r>
            <w:r>
              <w:rPr>
                <w:rFonts w:eastAsia="Arial"/>
              </w:rPr>
              <w:fldChar w:fldCharType="begin" w:fldLock="1"/>
            </w:r>
            <w:r>
              <w:rPr>
                <w:rFonts w:eastAsia="Arial"/>
              </w:rPr>
              <w:instrText>ADDIN CSL_CITATION {"citationItems":[{"id":"ITEM-1","itemData":{"DOI":"10.1038/sj.bjp.0702502","ISBN":"0007-1188 (Print)\\r0007-1188 (Linking)","ISSN":"0007-1188","PMID":"10369479","abstract":"Perhexiline has been used as an anti-anginal agent for over 25 years, and is known to cause QT prolongation and torsades de pointes. We hypothesized that the cellular basis for these effects was blockade of I(Kr). A stable transfection of HERG into a CHO-K1 cell line produced a delayed rectifier, potassium channel with similar properties to those reported for transient expression in Xenopus oocytes. Perhexiline caused voltage- and frequency-dependent block of HERG (IC50 7.8 microM). The rate of inactivation was increased and there was a 10 mV hyperpolarizing shift in the voltage-dependence of steady-state inactivation, suggestive of binding to the inactivated state. In conclusion, perhexiline potently inhibits transfected HERG channels and this is the probable mechanism for QT prolongation and torsades de pointes. Channel blockade shows greatest affinity for the inactivated state.","author":[{"dropping-particle":"","family":"Walker","given":"B D","non-dropping-particle":"","parse-names":false,"suffix":""},{"dropping-particle":"","family":"Valenzuela","given":"S M","non-dropping-particle":"","parse-names":false,"suffix":""},{"dropping-particle":"","family":"Singleton","given":"C B","non-dropping-particle":"","parse-names":false,"suffix":""},{"dropping-particle":"","family":"Tie","given":"H","non-dropping-particle":"","parse-names":false,"suffix":""},{"dropping-particle":"","family":"Bursill","given":"J A","non-dropping-particle":"","parse-names":false,"suffix":""},{"dropping-particle":"","family":"Wyse","given":"K R","non-dropping-particle":"","parse-names":false,"suffix":""},{"dropping-particle":"","family":"Qiu","given":"M R","non-dropping-particle":"","parse-names":false,"suffix":""},{"dropping-particle":"","family":"Breit","given":"S N","non-dropping-particle":"","parse-names":false,"suffix":""},{"dropping-particle":"","family":"Campbell","given":"T J","non-dropping-particle":"","parse-names":false,"suffix":""}],"container-title":"British journal of pharmacology","id":"ITEM-1","issue":"1","issued":{"date-parts":[["1999"]]},"page":"243-251","title":"Inhibition of HERG channels stably expressed in a mammalian cell line by the antianginal agent perhexiline maleate.","type":"article-journal","volume":"127"},"uris":["http://www.mendeley.com/documents/?uuid=a9c345fd-1dba-49cb-b2d2-7d97c376369d"]}],"mendeley":{"formattedCitation":"&lt;sup&gt;82&lt;/sup&gt;","plainTextFormattedCitation":"82","previouslyFormattedCitation":"&lt;sup&gt;82&lt;/sup&gt;"},"properties":{"noteIndex":0},"schema":"https://github.com/citation-style-language/schema/raw/master/csl-citation.json"}</w:instrText>
            </w:r>
            <w:r>
              <w:rPr>
                <w:rFonts w:eastAsia="Arial"/>
              </w:rPr>
              <w:fldChar w:fldCharType="separate"/>
            </w:r>
            <w:r w:rsidRPr="00DA7E6E">
              <w:rPr>
                <w:rFonts w:eastAsia="Arial"/>
                <w:noProof/>
                <w:vertAlign w:val="superscript"/>
              </w:rPr>
              <w:t>82</w:t>
            </w:r>
            <w:r>
              <w:rPr>
                <w:rFonts w:eastAsia="Arial"/>
              </w:rPr>
              <w:fldChar w:fldCharType="end"/>
            </w:r>
          </w:p>
          <w:p w:rsidR="001C5583" w:rsidRPr="004D1246" w:rsidRDefault="001C5583" w:rsidP="00050A5C">
            <w:pPr>
              <w:pStyle w:val="Tabletext"/>
              <w:rPr>
                <w:rFonts w:eastAsia="Arial"/>
              </w:rPr>
            </w:pPr>
            <w:r>
              <w:rPr>
                <w:rFonts w:eastAsia="Arial"/>
              </w:rPr>
              <w:t>-35 (ranging -10 to -65 mV)</w:t>
            </w:r>
            <w:r>
              <w:rPr>
                <w:rFonts w:eastAsia="Arial"/>
              </w:rPr>
              <w:fldChar w:fldCharType="begin" w:fldLock="1"/>
            </w:r>
            <w:r>
              <w:rPr>
                <w:rFonts w:eastAsia="Arial"/>
              </w:rPr>
              <w:instrText>ADDIN CSL_CITATION {"citationItems":[{"id":"ITEM-1","itemData":{"author":[{"dropping-particle":"","family":"Cone","given":"Clarence D.","non-dropping-particle":"","parse-names":false,"suffix":""},{"dropping-particle":"","family":"Tongier","given":"Max","non-dropping-particle":"","parse-names":false,"suffix":""}],"container-title":"Journal of Cellular Physiology","id":"ITEM-1","issue":"3","issued":{"date-parts":[["1973"]]},"page":"373","title":"Contact inhibition of division: Involvement of the electrical transmembrane potential","type":"article-journal","volume":"82"},"uris":["http://www.mendeley.com/documents/?uuid=6974c63e-214e-498d-8f1b-8044f14bed3f"]}],"mendeley":{"formattedCitation":"&lt;sup&gt;83&lt;/sup&gt;","plainTextFormattedCitation":"83","previouslyFormattedCitation":"&lt;sup&gt;83&lt;/sup&gt;"},"properties":{"noteIndex":0},"schema":"https://github.com/citation-style-language/schema/raw/master/csl-citation.json"}</w:instrText>
            </w:r>
            <w:r>
              <w:rPr>
                <w:rFonts w:eastAsia="Arial"/>
              </w:rPr>
              <w:fldChar w:fldCharType="separate"/>
            </w:r>
            <w:r w:rsidRPr="00DA7E6E">
              <w:rPr>
                <w:rFonts w:eastAsia="Arial"/>
                <w:noProof/>
                <w:vertAlign w:val="superscript"/>
              </w:rPr>
              <w:t>83</w:t>
            </w:r>
            <w:r>
              <w:rPr>
                <w:rFonts w:eastAsia="Arial"/>
              </w:rPr>
              <w:fldChar w:fldCharType="end"/>
            </w:r>
          </w:p>
        </w:tc>
        <w:tc>
          <w:tcPr>
            <w:tcW w:w="575" w:type="pct"/>
            <w:shd w:val="clear" w:color="auto" w:fill="auto"/>
            <w:vAlign w:val="center"/>
          </w:tcPr>
          <w:p w:rsidR="001C5583" w:rsidRPr="004D1246" w:rsidRDefault="001C5583" w:rsidP="00050A5C">
            <w:pPr>
              <w:pStyle w:val="Tabletext"/>
              <w:rPr>
                <w:rFonts w:eastAsia="Arial"/>
              </w:rPr>
            </w:pPr>
            <w:r>
              <w:rPr>
                <w:rFonts w:eastAsia="Arial"/>
              </w:rPr>
              <w:t>-30</w:t>
            </w:r>
          </w:p>
        </w:tc>
      </w:tr>
      <w:tr w:rsidR="001C5583" w:rsidRPr="00EB3919" w:rsidTr="00050A5C">
        <w:trPr>
          <w:trHeight w:val="979"/>
        </w:trPr>
        <w:tc>
          <w:tcPr>
            <w:tcW w:w="997" w:type="pct"/>
            <w:shd w:val="clear" w:color="auto" w:fill="auto"/>
            <w:vAlign w:val="center"/>
          </w:tcPr>
          <w:p w:rsidR="001C5583" w:rsidRPr="00EB3919" w:rsidRDefault="001C5583" w:rsidP="00050A5C">
            <w:pPr>
              <w:pStyle w:val="Tabletext"/>
              <w:rPr>
                <w:rFonts w:eastAsia="Arial"/>
              </w:rPr>
            </w:pPr>
            <w:r w:rsidRPr="00EB3919">
              <w:rPr>
                <w:rFonts w:eastAsia="Arial"/>
              </w:rPr>
              <w:t>HEK293T</w:t>
            </w:r>
          </w:p>
        </w:tc>
        <w:tc>
          <w:tcPr>
            <w:tcW w:w="781" w:type="pct"/>
            <w:shd w:val="clear" w:color="auto" w:fill="auto"/>
            <w:vAlign w:val="center"/>
          </w:tcPr>
          <w:p w:rsidR="001C5583" w:rsidRPr="00EB3919" w:rsidRDefault="001C5583" w:rsidP="00050A5C">
            <w:pPr>
              <w:pStyle w:val="Tabletext"/>
              <w:rPr>
                <w:rFonts w:eastAsia="Arial"/>
                <w:highlight w:val="yellow"/>
              </w:rPr>
            </w:pPr>
            <w:r w:rsidRPr="00F41201">
              <w:rPr>
                <w:rFonts w:eastAsia="Arial"/>
              </w:rPr>
              <w:t xml:space="preserve">-47 ± </w:t>
            </w:r>
            <w:r>
              <w:rPr>
                <w:rFonts w:eastAsia="Arial"/>
              </w:rPr>
              <w:t>5</w:t>
            </w:r>
          </w:p>
        </w:tc>
        <w:tc>
          <w:tcPr>
            <w:tcW w:w="770" w:type="pct"/>
            <w:shd w:val="clear" w:color="auto" w:fill="auto"/>
            <w:vAlign w:val="center"/>
          </w:tcPr>
          <w:p w:rsidR="001C5583" w:rsidRPr="00F41201" w:rsidRDefault="001C5583" w:rsidP="00050A5C">
            <w:pPr>
              <w:pStyle w:val="Tabletext"/>
              <w:rPr>
                <w:rFonts w:eastAsia="Arial"/>
                <w:highlight w:val="yellow"/>
              </w:rPr>
            </w:pPr>
            <w:r w:rsidRPr="00F41201">
              <w:rPr>
                <w:rFonts w:eastAsia="Arial"/>
              </w:rPr>
              <w:t xml:space="preserve">-6 ± </w:t>
            </w:r>
            <w:r>
              <w:rPr>
                <w:rFonts w:eastAsia="Arial"/>
              </w:rPr>
              <w:t>5</w:t>
            </w:r>
          </w:p>
        </w:tc>
        <w:tc>
          <w:tcPr>
            <w:tcW w:w="1877" w:type="pct"/>
            <w:vAlign w:val="center"/>
          </w:tcPr>
          <w:p w:rsidR="001C5583" w:rsidRDefault="001C5583" w:rsidP="00050A5C">
            <w:pPr>
              <w:pStyle w:val="Tabletext"/>
              <w:rPr>
                <w:rFonts w:eastAsia="Arial"/>
              </w:rPr>
            </w:pPr>
            <w:r>
              <w:rPr>
                <w:rFonts w:eastAsia="Arial"/>
              </w:rPr>
              <w:t>-45 (ranging -40 to -50 mV)</w:t>
            </w:r>
            <w:r>
              <w:rPr>
                <w:rFonts w:eastAsia="Arial"/>
              </w:rPr>
              <w:fldChar w:fldCharType="begin" w:fldLock="1"/>
            </w:r>
            <w:r>
              <w:rPr>
                <w:rFonts w:eastAsia="Arial"/>
              </w:rPr>
              <w:instrText>ADDIN CSL_CITATION {"citationItems":[{"id":"ITEM-1","itemData":{"DOI":"10.1111/j.1742-4658.2006.05614.x","ISSN":"1742464X","PMID":"17288552","abstract":"TRPM4b is a Ca(2+)-activated, voltage-dependent monovalent cation channel that has been shown to act as a negative regulator of Ca(2+) entry and to be involved in the generation of oscillations of Ca(2+) influx in Jurkat T-lymphocytes. Transient overexpression of TRPM4b as an enhanced green fluorescence fusion protein in human embryonic kidney (HEK) cells resulted in its localization in the plasma membrane, as demonstrated by confocal fluorescence microscopy. The functionality and plasma membrane localization of overexpressed TRPM4b was confirmed by induction of Ca(2+)-dependent inward and outward currents in whole cell patch clamp recordings. HEK-293 cells stably overexpressing TRPM4b showed higher ionomycin-activated Ca(2+) influx than wild-type cells. In addition, analysis of the membrane potential using the potentiometric dye bis-(1,3-dibutylbarbituric acid)-trimethine oxonol and by current clamp experiments in the perforated patch configuration revealed a faster initial depolarization after activation of Ca(2+) entry with ionomycin. Furthermore, TRPM4b expression facilitated repolarization and thereby enhanced sustained Ca(2+) influx. In conclusion, in cells with a small negative membrane potential, such as HEK-293 cells, TRPM4b acts as a positive regulator of Ca(2+) entry.","author":[{"dropping-particle":"","family":"Fliegert","given":"Ralf","non-dropping-particle":"","parse-names":false,"suffix":""},{"dropping-particle":"","family":"Glassmeier","given":"Günter","non-dropping-particle":"","parse-names":false,"suffix":""},{"dropping-particle":"","family":"Schmid","given":"Frederike","non-dropping-particle":"","parse-names":false,"suffix":""},{"dropping-particle":"","family":"Cornils","given":"Kerstin","non-dropping-particle":"","parse-names":false,"suffix":""},{"dropping-particle":"","family":"Genisyuerek","given":"Selda","non-dropping-particle":"","parse-names":false,"suffix":""},{"dropping-particle":"","family":"Harneit","given":"Angelika","non-dropping-particle":"","parse-names":false,"suffix":""},{"dropping-particle":"","family":"Schwarz","given":"Jürgen R.","non-dropping-particle":"","parse-names":false,"suffix":""},{"dropping-particle":"","family":"Guse","given":"Andreas H.","non-dropping-particle":"","parse-names":false,"suffix":""}],"container-title":"FEBS Journal","id":"ITEM-1","issue":"3","issued":{"date-parts":[["2007","2"]]},"page":"704-713","title":"Modulation of Ca2+ entry and plasma membrane potential by human TRPM4b","type":"article-journal","volume":"274"},"uris":["http://www.mendeley.com/documents/?uuid=e0637d8a-d81d-3ef3-9a9c-0fb286402314"]}],"mendeley":{"formattedCitation":"&lt;sup&gt;84&lt;/sup&gt;","plainTextFormattedCitation":"84","previouslyFormattedCitation":"&lt;sup&gt;84&lt;/sup&gt;"},"properties":{"noteIndex":0},"schema":"https://github.com/citation-style-language/schema/raw/master/csl-citation.json"}</w:instrText>
            </w:r>
            <w:r>
              <w:rPr>
                <w:rFonts w:eastAsia="Arial"/>
              </w:rPr>
              <w:fldChar w:fldCharType="separate"/>
            </w:r>
            <w:r w:rsidRPr="00DA7E6E">
              <w:rPr>
                <w:rFonts w:eastAsia="Arial"/>
                <w:noProof/>
                <w:vertAlign w:val="superscript"/>
              </w:rPr>
              <w:t>84</w:t>
            </w:r>
            <w:r>
              <w:rPr>
                <w:rFonts w:eastAsia="Arial"/>
              </w:rPr>
              <w:fldChar w:fldCharType="end"/>
            </w:r>
          </w:p>
          <w:p w:rsidR="001C5583" w:rsidRDefault="001C5583" w:rsidP="00050A5C">
            <w:pPr>
              <w:pStyle w:val="Tabletext"/>
              <w:rPr>
                <w:rFonts w:eastAsia="Arial"/>
              </w:rPr>
            </w:pPr>
            <w:r>
              <w:rPr>
                <w:rFonts w:eastAsia="Arial"/>
              </w:rPr>
              <w:t>-52 ± 1 (mean ± SEM)</w:t>
            </w:r>
            <w:r>
              <w:rPr>
                <w:rFonts w:eastAsia="Arial"/>
              </w:rPr>
              <w:fldChar w:fldCharType="begin" w:fldLock="1"/>
            </w:r>
            <w:r>
              <w:rPr>
                <w:rFonts w:eastAsia="Arial"/>
              </w:rPr>
              <w:instrText>ADDIN CSL_CITATION {"citationItems":[{"id":"ITEM-1","itemData":{"DOI":"10.1371/journal.pone.0008602","ISBN":"1932-6203 (Electronic)\\r1932-6203 (Linking)","ISSN":"19326203","PMID":"20066046","abstract":"L-type calcium currents (I(Ca)) are influenced by changes in extracellular chloride, but sites of anion effects have not been identified. Our experiments showed that CaV1.2 currents expressed in HEK293 cells are strongly inhibited by replacing extracellular chloride with gluconate or perchlorate. Variance-mean analysis of I(Ca) and cell-attached patch single channel recordings indicate that gluconate-induced inhibition is due to intracellular anion effects on Ca(2+) channel open probability, not conductance. Inhibition of CaV1.2 currents produced by replacing chloride with gluconate was reduced from approximately 75%-80% to approximately 50% by omitting beta subunits but unaffected by omitting alpha(2)delta subunits. Similarly, gluconate inhibition was reduced to approximately 50% by deleting an alpha1 subunit N-terminal region of 15 residues critical for beta subunit interactions regulating open probability. Omitting beta subunits with this mutant alpha1 subunit did not further diminish inhibition. Gluconate inhibition was unchanged with expression of different beta subunits. Truncating the C terminus at AA1665 reduced gluconate inhibition from approximately 75%-80% to approximately 50% whereas truncating it at AA1700 had no effect. Neutralizing arginines at AA1696 and 1697 by replacement with glutamines reduced gluconate inhibition to approximately 60% indicating these residues are particularly important for anion effects. Expressing CaV1.2 channels that lacked both N and C termini reduced gluconate inhibition to approximately 25% consistent with additive interactions between the two tail regions. Our results suggest that modest changes in intracellular anion concentration can produce significant effects on CaV1.2 currents mediated by changes in channel open probability involving beta subunit interactions with the N terminus and a short C terminal region.","author":[{"dropping-particle":"","family":"Babai","given":"Norbert","non-dropping-particle":"","parse-names":false,"suffix":""},{"dropping-particle":"","family":"Kanevsky","given":"Nataly","non-dropping-particle":"","parse-names":false,"suffix":""},{"dropping-particle":"","family":"Dascal","given":"Nathan","non-dropping-particle":"","parse-names":false,"suffix":""},{"dropping-particle":"","family":"Rozanski","given":"George J.","non-dropping-particle":"","parse-names":false,"suffix":""},{"dropping-particle":"","family":"Singh","given":"Dhirendra P.","non-dropping-particle":"","parse-names":false,"suffix":""},{"dropping-particle":"","family":"Fatma","given":"Nigar","non-dropping-particle":"","parse-names":false,"suffix":""},{"dropping-particle":"","family":"Thoreson","given":"Wallace B.","non-dropping-particle":"","parse-names":false,"suffix":""}],"container-title":"PLoS ONE","id":"ITEM-1","issue":"1","issued":{"date-parts":[["2010"]]},"title":"Anion-sensitive regions of L-type CaV1.2 calcium channels expressed in HEK293 cells","type":"article-journal","volume":"5"},"uris":["http://www.mendeley.com/documents/?uuid=a54f16f9-676c-4324-925c-88359858f5cc"]}],"mendeley":{"formattedCitation":"&lt;sup&gt;85&lt;/sup&gt;","plainTextFormattedCitation":"85","previouslyFormattedCitation":"&lt;sup&gt;85&lt;/sup&gt;"},"properties":{"noteIndex":0},"schema":"https://github.com/citation-style-language/schema/raw/master/csl-citation.json"}</w:instrText>
            </w:r>
            <w:r>
              <w:rPr>
                <w:rFonts w:eastAsia="Arial"/>
              </w:rPr>
              <w:fldChar w:fldCharType="separate"/>
            </w:r>
            <w:r w:rsidRPr="00DA7E6E">
              <w:rPr>
                <w:rFonts w:eastAsia="Arial"/>
                <w:noProof/>
                <w:vertAlign w:val="superscript"/>
              </w:rPr>
              <w:t>85</w:t>
            </w:r>
            <w:r>
              <w:rPr>
                <w:rFonts w:eastAsia="Arial"/>
              </w:rPr>
              <w:fldChar w:fldCharType="end"/>
            </w:r>
          </w:p>
          <w:p w:rsidR="001C5583" w:rsidRDefault="001C5583" w:rsidP="00050A5C">
            <w:pPr>
              <w:pStyle w:val="Tabletext"/>
              <w:rPr>
                <w:rFonts w:eastAsia="Arial"/>
              </w:rPr>
            </w:pPr>
            <w:r>
              <w:rPr>
                <w:rFonts w:eastAsia="Arial"/>
              </w:rPr>
              <w:t>-35 ± 2 (mean ± SEM)</w:t>
            </w:r>
            <w:r>
              <w:rPr>
                <w:rFonts w:eastAsia="Arial"/>
              </w:rPr>
              <w:fldChar w:fldCharType="begin" w:fldLock="1"/>
            </w:r>
            <w:r>
              <w:rPr>
                <w:rFonts w:eastAsia="Arial"/>
              </w:rPr>
              <w:instrText>ADDIN CSL_CITATION {"citationItems":[{"id":"ITEM-1","itemData":{"DOI":"10.1016/j.bpj.2010.07.027","ISSN":"1542-0086","PMID":"20858415","abstract":"Vpu, a component unique to HIV-1, greatly enhances the efficiency of viral particle release by unclear mechanisms. This Vpu function is intrinsically linked to its channel-like structure, which enables it to interfere with homologous transmembrane structures in infected cells. Because Vpu interacts destructively with host background K(+) channels that set the cell resting potential, we hypothesized that Vpu might trigger viral release by destabilizing the electric field across a budding membrane. Here, we found that the efficiency of Vpu-mediated viral release is inversely correlated with membrane potential polarization. By inhibiting the background K(+) currents, Vpu dissipates the voltage constraint on viral particle discharge. As a proof of concept, we show that HIV-1 release can be accelerated by externally imposed depolarization alone. Our findings identify the trigger of Vpu-mediated release as a manifestation of the general principle of depolarization-stimulated exocytosis.","author":[{"dropping-particle":"","family":"Hsu","given":"Kate","non-dropping-particle":"","parse-names":false,"suffix":""},{"dropping-particle":"","family":"Han","given":"Jin","non-dropping-particle":"","parse-names":false,"suffix":""},{"dropping-particle":"","family":"Shinlapawittayatorn","given":"Krekwit","non-dropping-particle":"","parse-names":false,"suffix":""},{"dropping-particle":"","family":"Deschenes","given":"Isabelle","non-dropping-particle":"","parse-names":false,"suffix":""},{"dropping-particle":"","family":"Marbán","given":"Eduardo","non-dropping-particle":"","parse-names":false,"suffix":""}],"container-title":"Biophysical journal","id":"ITEM-1","issue":"6","issued":{"date-parts":[["2010","9","22"]]},"page":"1718-25","publisher":"The Biophysical Society","title":"Membrane potential depolarization as a triggering mechanism for Vpu-mediated HIV-1 release.","type":"article-journal","volume":"99"},"uris":["http://www.mendeley.com/documents/?uuid=57382594-858c-3b84-a681-18388780ba3f"]}],"mendeley":{"formattedCitation":"&lt;sup&gt;86&lt;/sup&gt;","plainTextFormattedCitation":"86","previouslyFormattedCitation":"&lt;sup&gt;86&lt;/sup&gt;"},"properties":{"noteIndex":0},"schema":"https://github.com/citation-style-language/schema/raw/master/csl-citation.json"}</w:instrText>
            </w:r>
            <w:r>
              <w:rPr>
                <w:rFonts w:eastAsia="Arial"/>
              </w:rPr>
              <w:fldChar w:fldCharType="separate"/>
            </w:r>
            <w:r w:rsidRPr="00DA7E6E">
              <w:rPr>
                <w:rFonts w:eastAsia="Arial"/>
                <w:noProof/>
                <w:vertAlign w:val="superscript"/>
              </w:rPr>
              <w:t>86</w:t>
            </w:r>
            <w:r>
              <w:rPr>
                <w:rFonts w:eastAsia="Arial"/>
              </w:rPr>
              <w:fldChar w:fldCharType="end"/>
            </w:r>
          </w:p>
        </w:tc>
        <w:tc>
          <w:tcPr>
            <w:tcW w:w="575" w:type="pct"/>
            <w:shd w:val="clear" w:color="auto" w:fill="auto"/>
            <w:vAlign w:val="center"/>
          </w:tcPr>
          <w:p w:rsidR="001C5583" w:rsidRPr="004D1246" w:rsidRDefault="001C5583" w:rsidP="00050A5C">
            <w:pPr>
              <w:pStyle w:val="Tabletext"/>
              <w:rPr>
                <w:rFonts w:eastAsia="Arial"/>
              </w:rPr>
            </w:pPr>
            <w:r>
              <w:rPr>
                <w:rFonts w:eastAsia="Arial"/>
              </w:rPr>
              <w:t>-44</w:t>
            </w:r>
          </w:p>
        </w:tc>
      </w:tr>
      <w:tr w:rsidR="001C5583" w:rsidRPr="00EB3919" w:rsidTr="00050A5C">
        <w:trPr>
          <w:trHeight w:val="1792"/>
        </w:trPr>
        <w:tc>
          <w:tcPr>
            <w:tcW w:w="997" w:type="pct"/>
            <w:shd w:val="clear" w:color="auto" w:fill="auto"/>
            <w:vAlign w:val="center"/>
          </w:tcPr>
          <w:p w:rsidR="001C5583" w:rsidRPr="00EB3919" w:rsidRDefault="001C5583" w:rsidP="00050A5C">
            <w:pPr>
              <w:pStyle w:val="Tabletext"/>
              <w:rPr>
                <w:rFonts w:eastAsia="Arial"/>
              </w:rPr>
            </w:pPr>
            <w:r w:rsidRPr="00EB3919">
              <w:rPr>
                <w:rFonts w:eastAsia="Arial"/>
              </w:rPr>
              <w:t>MCF-7</w:t>
            </w:r>
          </w:p>
        </w:tc>
        <w:tc>
          <w:tcPr>
            <w:tcW w:w="781" w:type="pct"/>
            <w:shd w:val="clear" w:color="auto" w:fill="auto"/>
            <w:vAlign w:val="center"/>
          </w:tcPr>
          <w:p w:rsidR="001C5583" w:rsidRPr="00EB3919" w:rsidRDefault="001C5583" w:rsidP="00050A5C">
            <w:pPr>
              <w:pStyle w:val="Tabletext"/>
              <w:rPr>
                <w:rFonts w:eastAsia="Arial"/>
                <w:highlight w:val="yellow"/>
              </w:rPr>
            </w:pPr>
            <w:r w:rsidRPr="00F41201">
              <w:rPr>
                <w:rFonts w:eastAsia="Arial"/>
              </w:rPr>
              <w:t>-2</w:t>
            </w:r>
            <w:r>
              <w:rPr>
                <w:rFonts w:eastAsia="Arial"/>
              </w:rPr>
              <w:t>9</w:t>
            </w:r>
            <w:r w:rsidRPr="00F41201">
              <w:rPr>
                <w:rFonts w:eastAsia="Arial"/>
              </w:rPr>
              <w:t xml:space="preserve"> ± </w:t>
            </w:r>
            <w:r>
              <w:rPr>
                <w:rFonts w:eastAsia="Arial"/>
              </w:rPr>
              <w:t>5</w:t>
            </w:r>
          </w:p>
        </w:tc>
        <w:tc>
          <w:tcPr>
            <w:tcW w:w="770" w:type="pct"/>
            <w:shd w:val="clear" w:color="auto" w:fill="auto"/>
            <w:vAlign w:val="center"/>
          </w:tcPr>
          <w:p w:rsidR="001C5583" w:rsidRPr="00F41201" w:rsidRDefault="001C5583" w:rsidP="00050A5C">
            <w:pPr>
              <w:pStyle w:val="Tabletext"/>
              <w:rPr>
                <w:rFonts w:eastAsia="Arial"/>
                <w:highlight w:val="yellow"/>
              </w:rPr>
            </w:pPr>
            <w:r>
              <w:rPr>
                <w:rFonts w:eastAsia="Arial"/>
              </w:rPr>
              <w:t>4</w:t>
            </w:r>
            <w:r w:rsidRPr="00F41201">
              <w:rPr>
                <w:rFonts w:eastAsia="Arial"/>
              </w:rPr>
              <w:t xml:space="preserve"> ± </w:t>
            </w:r>
            <w:r>
              <w:rPr>
                <w:rFonts w:eastAsia="Arial"/>
              </w:rPr>
              <w:t>5</w:t>
            </w:r>
          </w:p>
        </w:tc>
        <w:tc>
          <w:tcPr>
            <w:tcW w:w="1877" w:type="pct"/>
            <w:vAlign w:val="center"/>
          </w:tcPr>
          <w:p w:rsidR="001C5583" w:rsidRDefault="001C5583" w:rsidP="00050A5C">
            <w:pPr>
              <w:pStyle w:val="Tabletext"/>
              <w:rPr>
                <w:rFonts w:eastAsia="Arial"/>
              </w:rPr>
            </w:pPr>
            <w:r>
              <w:rPr>
                <w:rFonts w:eastAsia="Arial"/>
              </w:rPr>
              <w:t>-23 ± 1 (median ±  SE of median)</w:t>
            </w:r>
            <w:r>
              <w:rPr>
                <w:rFonts w:eastAsia="Arial"/>
              </w:rPr>
              <w:fldChar w:fldCharType="begin" w:fldLock="1"/>
            </w:r>
            <w:r>
              <w:rPr>
                <w:rFonts w:eastAsia="Arial"/>
              </w:rPr>
              <w:instrText>ADDIN CSL_CITATION {"citationItems":[{"id":"ITEM-1","itemData":{"DOI":"10.1002/jcp.1041650121","ISSN":"0021-9541","PMID":"7559799","abstract":"We previously reported that MCF-7 cells were arrested in the G0/G1 phase of the cell cycle by agents known to block the activity of ATP-sensitive potassium channels (Woodfork et al., 1995, J. Cell Physiol. 162:163-171). The goal of our current study was to determine if MCF-7 cells undergo changes in membrane potential during the cell cycle that might be linked to changes in K permeability. The resting membrane potentials of unsynchronized MCF-7 cells during exponential growth phase were measured using sharp glass microelectrodes, and they ranged from -58.6 mV to -2.7 mV. The distribution of membrane potentials was best fitted by the sum of four Gaussian distributions with means of -9.0 mV, -17.4 mV, -24.6 mV, and -40.4 mV. These membrane potential groups were designated D (depolarized), ID (intermediate depolarized), IH (intermediate hyperpolarized), and H (hyperpolarized), respectively. The membrane potential was sensitive to the substitution of external K and Na but not Cl. The K:Na permeability ratio increased in proportion to the negativity of the membrane potential. MCF-7 cells pharmacologically arrested in G0/G1 phase were depolarized compared to control, with cells shifted from the H and IH groups to the D group. Tamoxifen-arrested cells chased from G0/G1 into S phase by the addition of mitogenic concentrations of 17 beta-estradiol were not depolarized, and these cells were shifted from the D group back to the IH and H groups. We conclude that MCF-7 cells hyperpolarize during passage through G0/G1 and into S phase, and this hyperpolarization probably results from an increase in the relative permeability of the plasma membrane to K.","author":[{"dropping-particle":"","family":"Wonderlin","given":"W F","non-dropping-particle":"","parse-names":false,"suffix":""},{"dropping-particle":"","family":"Woodfork","given":"K A","non-dropping-particle":"","parse-names":false,"suffix":""},{"dropping-particle":"","family":"Strobl","given":"J S","non-dropping-particle":"","parse-names":false,"suffix":""}],"container-title":"Journal of cellular physiology","id":"ITEM-1","issue":"1","issued":{"date-parts":[["1995"]]},"page":"177-185","title":"Changes in membrane potential during the progression of MCF-7 human mammary tumor cells through the cell cycle.","type":"article-journal","volume":"165"},"uris":["http://www.mendeley.com/documents/?uuid=f3c828dc-b505-4265-82ad-a05ea10731ef"]}],"mendeley":{"formattedCitation":"&lt;sup&gt;54&lt;/sup&gt;","plainTextFormattedCitation":"54","previouslyFormattedCitation":"&lt;sup&gt;54&lt;/sup&gt;"},"properties":{"noteIndex":0},"schema":"https://github.com/citation-style-language/schema/raw/master/csl-citation.json"}</w:instrText>
            </w:r>
            <w:r>
              <w:rPr>
                <w:rFonts w:eastAsia="Arial"/>
              </w:rPr>
              <w:fldChar w:fldCharType="separate"/>
            </w:r>
            <w:r w:rsidRPr="00DA7E6E">
              <w:rPr>
                <w:rFonts w:eastAsia="Arial"/>
                <w:noProof/>
                <w:vertAlign w:val="superscript"/>
              </w:rPr>
              <w:t>54</w:t>
            </w:r>
            <w:r>
              <w:rPr>
                <w:rFonts w:eastAsia="Arial"/>
              </w:rPr>
              <w:fldChar w:fldCharType="end"/>
            </w:r>
          </w:p>
          <w:p w:rsidR="001C5583" w:rsidRDefault="001C5583" w:rsidP="00050A5C">
            <w:pPr>
              <w:pStyle w:val="Tabletext"/>
              <w:rPr>
                <w:rFonts w:eastAsia="Arial"/>
              </w:rPr>
            </w:pPr>
            <w:r>
              <w:rPr>
                <w:rFonts w:eastAsia="Arial"/>
              </w:rPr>
              <w:t>-36 ± 5 (mean ± SEM)</w:t>
            </w:r>
            <w:r>
              <w:rPr>
                <w:rFonts w:eastAsia="Arial"/>
              </w:rPr>
              <w:fldChar w:fldCharType="begin" w:fldLock="1"/>
            </w:r>
            <w:r>
              <w:rPr>
                <w:rFonts w:eastAsia="Arial"/>
              </w:rPr>
              <w:instrText>ADDIN CSL_CITATION {"citationItems":[{"id":"ITEM-1","itemData":{"DOI":"10.1186/s12935-016-0348-8","ISSN":"1475-2867","PMID":"27688735","abstract":"BACKGROUND Membrane depolarization is associated with breast cancer. Depolarization-activated voltage-gated ion channels are directly implicated in the initiation, proliferation, and metastasis of breast cancer. METHODS In this study, the role of voltage-gated potassium and calcium ion channel modulation was explored in two different invasive ductal human carcinoma cell lines, MDA-MB-231 (triple-negative) and MCF7 (estrogen-receptor-positive). RESULTS Resting membrane potential is more depolarized in MCF7 and MDA-MB-231 cells compared to normal human mammary epithelial cells. Increasing extracellular potassium concentration up to 50 mM depolarized membrane potential and greatly increased cell growth. Tetraethylammonium (TEA), a non-specific blocker of voltage-gated potassium channels, stimulated growth of MCF7 cells (control group grew by 201 %, 1 mM TEA group grew 376 %). Depolarization-induced calcium influx was hypothesized as a requirement for growth of human breast cancer. Removing calcium from culture medium stopped growth of MDA and MCF7 cells, leading to cell death after 1 week. Verapamil, a blocker of voltage-gated calcium channels clinically used in treating hypertension and coronary disease, inhibited growth of MDA cells at low concentration (10-20 μM) by 73 and 92 % after 1 and 2 days, respectively. At high concentration (100 μM), verapamil killed &gt;90 % of MDA and MCF7 cells after 1 day. Immunoblotting experiments demonstrated that an increased expression of caspase-3, critical in apoptosis signaling, positively correlated with verapamil concentration in MDA cells. In MCF7, caspase-9 expression is increased in response to verapamil. CONCLUSIONS Our results support our hypotheses that membrane depolarization and depolarization-induced calcium influx stimulate proliferation of human breast cancer cells, independently of cancer subtypes. The underlying mechanism of verapamil-induced cell death involves different caspases in MCF7 and MDA-MB-231. These data suggest that voltage-gated potassium and calcium channels may be putative targets for pharmaceutical remediation in human invasive ductal carcinomas.","author":[{"dropping-particle":"","family":"Berzingi","given":"Seher","non-dropping-particle":"","parse-names":false,"suffix":""},{"dropping-particle":"","family":"Newman","given":"Mackenzie","non-dropping-particle":"","parse-names":false,"suffix":""},{"dropping-particle":"","family":"Yu","given":"Han-Gang","non-dropping-particle":"","parse-names":false,"suffix":""}],"container-title":"Cancer cell international","id":"ITEM-1","issued":{"date-parts":[["2016"]]},"page":"72","publisher":"BioMed Central","title":"Altering bioelectricity on inhibition of human breast cancer cells.","type":"article-journal","volume":"16"},"uris":["http://www.mendeley.com/documents/?uuid=7f91c847-c428-307b-a329-48c769d8a985"]}],"mendeley":{"formattedCitation":"&lt;sup&gt;87&lt;/sup&gt;","plainTextFormattedCitation":"87","previouslyFormattedCitation":"&lt;sup&gt;87&lt;/sup&gt;"},"properties":{"noteIndex":0},"schema":"https://github.com/citation-style-language/schema/raw/master/csl-citation.json"}</w:instrText>
            </w:r>
            <w:r>
              <w:rPr>
                <w:rFonts w:eastAsia="Arial"/>
              </w:rPr>
              <w:fldChar w:fldCharType="separate"/>
            </w:r>
            <w:r w:rsidRPr="00DA7E6E">
              <w:rPr>
                <w:rFonts w:eastAsia="Arial"/>
                <w:noProof/>
                <w:vertAlign w:val="superscript"/>
              </w:rPr>
              <w:t>87</w:t>
            </w:r>
            <w:r>
              <w:rPr>
                <w:rFonts w:eastAsia="Arial"/>
              </w:rPr>
              <w:fldChar w:fldCharType="end"/>
            </w:r>
          </w:p>
          <w:p w:rsidR="001C5583" w:rsidRDefault="001C5583" w:rsidP="00050A5C">
            <w:pPr>
              <w:pStyle w:val="Tabletext"/>
              <w:rPr>
                <w:rFonts w:eastAsia="Arial"/>
              </w:rPr>
            </w:pPr>
            <w:r>
              <w:rPr>
                <w:rFonts w:eastAsia="Arial"/>
              </w:rPr>
              <w:t>-41 ± 20 (mean ± SD)</w:t>
            </w:r>
            <w:r>
              <w:rPr>
                <w:rFonts w:eastAsia="Arial"/>
              </w:rPr>
              <w:fldChar w:fldCharType="begin" w:fldLock="1"/>
            </w:r>
            <w:r>
              <w:rPr>
                <w:rFonts w:eastAsia="Arial"/>
              </w:rPr>
              <w:instrText>ADDIN CSL_CITATION {"citationItems":[{"id":"ITEM-1","itemData":{"DOI":"10.1111/j.1464-410X.2009.08500.x","ISSN":"1060-6823","PMID":"11697078","abstract":"MCF-7 cells express voltage-activated K+ channels. In the present study, we used the patch-clamp and RT-PCR techniques to investigate the involvement of these channels during the cell cycle progression. The outward rectifier current (IK) recorded during depolarization was almost completely suppressed by the classical K+ channel blocker tetraethylammonium (TEA) in MCF-7 cells. TEA also inhibited cell proliferation, as measured with 3H-thymidine incorporation. Moreover, profound changes were observed in both the resting membrane potential (RMP) and IK during the release from the G0/G1 phase of the cell cycle. MCF-7 cells arrested in G0/G1 were depolarized (-26.3 +/- 10 mV, n = 30) and IK-density was small (9.4 +/- 5.6 pA/pF, n = 60) compared to cells progressing in the G1 phase (RMP = -60 +/- 7.9 mV; n = 35 and IK-density = 30.2 +/- 8.5 pA/pF; n = 76). IK was highly sensitive to Mg2+, astemizole and TEA (10 mM). Extracellular perfusion of 5 mM Mg2+ dramatically slowed the activation and perfusion of 2 microM astemizole inhibited both IK (20 +/- 3%) and cell proliferation (23%). Moreover, the h-EAG mRNA expression was modulated during the cell cycle. Thus, these data suggested that h-EAG K+ channels play a role in controlling the proliferation and/or cell cycle.","author":[{"dropping-particle":"","family":"Ouadid-Ahidouch","given":"H","non-dropping-particle":"","parse-names":false,"suffix":""},{"dropping-particle":"","family":"Bourhis","given":"X","non-dropping-particle":"Le","parse-names":false,"suffix":""},{"dropping-particle":"","family":"Roudbaraki","given":"M","non-dropping-particle":"","parse-names":false,"suffix":""},{"dropping-particle":"","family":"Toillon","given":"R A","non-dropping-particle":"","parse-names":false,"suffix":""},{"dropping-particle":"","family":"Delcourt","given":"P","non-dropping-particle":"","parse-names":false,"suffix":""},{"dropping-particle":"","family":"Prevarskaya","given":"N","non-dropping-particle":"","parse-names":false,"suffix":""}],"container-title":"Receptors &amp; channels","id":"ITEM-1","issue":"5","issued":{"date-parts":[["2001"]]},"page":"345-356","title":"Changes in the K+ current-density of MCF-7 cells during progression through the cell cycle: Possible involvement of a h-ether.a-gogo K+ channel","type":"article-journal","volume":"7"},"uris":["http://www.mendeley.com/documents/?uuid=babe086c-94f2-3f0f-b75f-acdb71624630"]}],"mendeley":{"formattedCitation":"&lt;sup&gt;53&lt;/sup&gt;","plainTextFormattedCitation":"53","previouslyFormattedCitation":"&lt;sup&gt;53&lt;/sup&gt;"},"properties":{"noteIndex":0},"schema":"https://github.com/citation-style-language/schema/raw/master/csl-citation.json"}</w:instrText>
            </w:r>
            <w:r>
              <w:rPr>
                <w:rFonts w:eastAsia="Arial"/>
              </w:rPr>
              <w:fldChar w:fldCharType="separate"/>
            </w:r>
            <w:r w:rsidRPr="00DA7E6E">
              <w:rPr>
                <w:rFonts w:eastAsia="Arial"/>
                <w:noProof/>
                <w:vertAlign w:val="superscript"/>
              </w:rPr>
              <w:t>53</w:t>
            </w:r>
            <w:r>
              <w:rPr>
                <w:rFonts w:eastAsia="Arial"/>
              </w:rPr>
              <w:fldChar w:fldCharType="end"/>
            </w:r>
          </w:p>
          <w:p w:rsidR="001C5583" w:rsidRDefault="001C5583" w:rsidP="00050A5C">
            <w:pPr>
              <w:pStyle w:val="Tabletext"/>
              <w:rPr>
                <w:rFonts w:eastAsia="Arial"/>
              </w:rPr>
            </w:pPr>
            <w:r>
              <w:rPr>
                <w:rFonts w:eastAsia="Arial"/>
              </w:rPr>
              <w:t>-42 (no error given)</w:t>
            </w:r>
            <w:r>
              <w:rPr>
                <w:rFonts w:eastAsia="Arial"/>
              </w:rPr>
              <w:fldChar w:fldCharType="begin" w:fldLock="1"/>
            </w:r>
            <w:r>
              <w:rPr>
                <w:rFonts w:eastAsia="Arial"/>
              </w:rPr>
              <w:instrText>ADDIN CSL_CITATION {"citationItems":[{"id":"ITEM-1","itemData":{"DOI":"10.1002/(sici)1097-4652(199809)176:3&lt;456::aid-jcp2&gt;3.0.co;2-n","ISBN":"0021-9541","abstract":"The mechanism of the G0/G1 arrest and inhibition of proliferation by quinidine, a potassium channel blocker, was investigated in a tissue culture cell line, MCF-7, derived from a human breast carcinoma. The earliest measurable effect of quinidine on the cell cycle was a decrease in the fraction of cells in S phase at 12 hr, followed by the accumulation of cells in G1/G0 phases at 30 hr. Arrest and release of the cell cycle established quinidine as a cell synchronization agent, with a site of arrest in early G1 preceding the lovastatin G1 arrest site by 5-6 hr. There was a close correspondence among the concentration-dependent arrest by quinidine in G1, depolarization of the membrane potential, and the inhibition of ATP-sensitive potassium currents, supporting a model in which hyperpolarization of the membrane potential and progression through G1 are functionally linked. Furthermore, the G1 arrest by quinidine was overcome by valinomycin, a potassium ionophore that hyperpolarized the membrane potential in the presence of quinidine. With sustained exposure of MCF-7 cells to quinidine, expression of the Ki67 antigen, a marker for cells in cycle, decreased, and apoptotic and necrotic cell death ensued. We conclude that MCF-7 cells that fail to progress through the quinidine-arrest site in G1 die. J. Cell. Physiol. 176:456-464, 1998. (C) 1998 Wiley-Liss, Inc.","author":[{"dropping-particle":"","family":"Wang","given":"S Y","non-dropping-particle":"","parse-names":false,"suffix":""},{"dropping-particle":"","family":"Melkoumian","given":"Z","non-dropping-particle":"","parse-names":false,"suffix":""},{"dropping-particle":"","family":"Woodfork","given":"K A","non-dropping-particle":"","parse-names":false,"suffix":""},{"dropping-particle":"","family":"Cather","given":"C","non-dropping-particle":"","parse-names":false,"suffix":""},{"dropping-particle":"","family":"Davidson","given":"A G","non-dropping-particle":"","parse-names":false,"suffix":""},{"dropping-particle":"","family":"Wonderlin","given":"W F","non-dropping-particle":"","parse-names":false,"suffix":""},{"dropping-particle":"","family":"Strobl","given":"J S","non-dropping-particle":"","parse-names":false,"suffix":""}],"container-title":"Journal of Cellular Physiology","id":"ITEM-1","issue":"3","issued":{"date-parts":[["1998"]]},"page":"456-464","title":"Evidence for an early G1 ionic event necessary for cell cycle progression and survival in the MCF-7 human breast carcinoma cell line","type":"article-journal","volume":"176"},"uris":["http://www.mendeley.com/documents/?uuid=6c9ff89e-8a8f-4704-9b5e-2c0ed49d41c1"]}],"mendeley":{"formattedCitation":"&lt;sup&gt;88&lt;/sup&gt;","plainTextFormattedCitation":"88","previouslyFormattedCitation":"&lt;sup&gt;88&lt;/sup&gt;"},"properties":{"noteIndex":0},"schema":"https://github.com/citation-style-language/schema/raw/master/csl-citation.json"}</w:instrText>
            </w:r>
            <w:r>
              <w:rPr>
                <w:rFonts w:eastAsia="Arial"/>
              </w:rPr>
              <w:fldChar w:fldCharType="separate"/>
            </w:r>
            <w:r w:rsidRPr="00DA7E6E">
              <w:rPr>
                <w:rFonts w:eastAsia="Arial"/>
                <w:noProof/>
                <w:vertAlign w:val="superscript"/>
              </w:rPr>
              <w:t>88</w:t>
            </w:r>
            <w:r>
              <w:rPr>
                <w:rFonts w:eastAsia="Arial"/>
              </w:rPr>
              <w:fldChar w:fldCharType="end"/>
            </w:r>
          </w:p>
          <w:p w:rsidR="001C5583" w:rsidRDefault="001C5583" w:rsidP="00050A5C">
            <w:pPr>
              <w:pStyle w:val="Tabletext"/>
              <w:rPr>
                <w:rFonts w:eastAsia="Arial"/>
              </w:rPr>
            </w:pPr>
            <w:r>
              <w:rPr>
                <w:rFonts w:eastAsia="Arial"/>
              </w:rPr>
              <w:t>-42 ± 5 (mean ± SEM)</w:t>
            </w:r>
            <w:r>
              <w:rPr>
                <w:rFonts w:eastAsia="Arial"/>
              </w:rPr>
              <w:fldChar w:fldCharType="begin" w:fldLock="1"/>
            </w:r>
            <w:r>
              <w:rPr>
                <w:rFonts w:eastAsia="Arial"/>
              </w:rPr>
              <w:instrText>ADDIN CSL_CITATION {"citationItems":[{"id":"ITEM-1","itemData":{"DOI":"10.1159/000217878","ISBN":"1423-0380","ISSN":"10104283","PMID":"8184256","abstract":"Cell membrane potentials were measured in breast tissue and in breast epithelial cells to explore the relation between cell membrane potentials, oncogenesis and electrical potentials previously measured on the surface of the breast. The mean membrane potential in breast biopsy tissue from 9 women with infiltrating ductal carcinoma was significantly depolarized, compared with values measured in tissue from 8 women with benign breast disease. Depolarization was also observed in transformed breast epithelial cells, compared with normal breast cells; the transformed cells were particularly sensitive to the action of K+ channel blockers. The results were consistent with previous observations of electropositivity of skin sites over malignant tumors of the breast.","author":[{"dropping-particle":"","family":"Marino","given":"A. A.","non-dropping-particle":"","parse-names":false,"suffix":""},{"dropping-particle":"","family":"Iliev","given":"I. G.","non-dropping-particle":"","parse-names":false,"suffix":""},{"dropping-particle":"","family":"Schwalke","given":"M. A.","non-dropping-particle":"","parse-names":false,"suffix":""},{"dropping-particle":"","family":"Gonzalez","given":"E.","non-dropping-particle":"","parse-names":false,"suffix":""},{"dropping-particle":"","family":"Marler","given":"K. C.","non-dropping-particle":"","parse-names":false,"suffix":""},{"dropping-particle":"","family":"Flanagan","given":"C. A.","non-dropping-particle":"","parse-names":false,"suffix":""}],"container-title":"Tumor Biology","id":"ITEM-1","issue":"2","issued":{"date-parts":[["1994"]]},"page":"82-89","title":"Association between cell membrane potential and breast cancer","type":"article-journal","volume":"15"},"uris":["http://www.mendeley.com/documents/?uuid=0fa5a35d-6cd4-45a0-b990-5cfacfa2b626"]}],"mendeley":{"formattedCitation":"&lt;sup&gt;89&lt;/sup&gt;","plainTextFormattedCitation":"89","previouslyFormattedCitation":"&lt;sup&gt;89&lt;/sup&gt;"},"properties":{"noteIndex":0},"schema":"https://github.com/citation-style-language/schema/raw/master/csl-citation.json"}</w:instrText>
            </w:r>
            <w:r>
              <w:rPr>
                <w:rFonts w:eastAsia="Arial"/>
              </w:rPr>
              <w:fldChar w:fldCharType="separate"/>
            </w:r>
            <w:r w:rsidRPr="00DA7E6E">
              <w:rPr>
                <w:rFonts w:eastAsia="Arial"/>
                <w:noProof/>
                <w:vertAlign w:val="superscript"/>
              </w:rPr>
              <w:t>89</w:t>
            </w:r>
            <w:r>
              <w:rPr>
                <w:rFonts w:eastAsia="Arial"/>
              </w:rPr>
              <w:fldChar w:fldCharType="end"/>
            </w:r>
          </w:p>
        </w:tc>
        <w:tc>
          <w:tcPr>
            <w:tcW w:w="575" w:type="pct"/>
            <w:shd w:val="clear" w:color="auto" w:fill="auto"/>
            <w:vAlign w:val="center"/>
          </w:tcPr>
          <w:p w:rsidR="001C5583" w:rsidRPr="004D1246" w:rsidRDefault="001C5583" w:rsidP="00050A5C">
            <w:pPr>
              <w:pStyle w:val="Tabletext"/>
              <w:rPr>
                <w:rFonts w:eastAsia="Arial"/>
              </w:rPr>
            </w:pPr>
            <w:r>
              <w:rPr>
                <w:rFonts w:eastAsia="Arial"/>
              </w:rPr>
              <w:t>-36</w:t>
            </w:r>
          </w:p>
        </w:tc>
      </w:tr>
      <w:tr w:rsidR="001C5583" w:rsidRPr="00EB3919" w:rsidTr="00050A5C">
        <w:trPr>
          <w:trHeight w:val="937"/>
        </w:trPr>
        <w:tc>
          <w:tcPr>
            <w:tcW w:w="997" w:type="pct"/>
            <w:shd w:val="clear" w:color="auto" w:fill="auto"/>
            <w:vAlign w:val="center"/>
          </w:tcPr>
          <w:p w:rsidR="001C5583" w:rsidRPr="00EB3919" w:rsidRDefault="001C5583" w:rsidP="00050A5C">
            <w:pPr>
              <w:pStyle w:val="Tabletext"/>
              <w:rPr>
                <w:rFonts w:eastAsia="Arial"/>
              </w:rPr>
            </w:pPr>
            <w:r w:rsidRPr="00EB3919">
              <w:rPr>
                <w:rFonts w:eastAsia="Arial"/>
              </w:rPr>
              <w:t>MDA-MB-231</w:t>
            </w:r>
          </w:p>
        </w:tc>
        <w:tc>
          <w:tcPr>
            <w:tcW w:w="781" w:type="pct"/>
            <w:shd w:val="clear" w:color="auto" w:fill="auto"/>
            <w:vAlign w:val="center"/>
          </w:tcPr>
          <w:p w:rsidR="001C5583" w:rsidRPr="00EB3919" w:rsidRDefault="001C5583" w:rsidP="00050A5C">
            <w:pPr>
              <w:pStyle w:val="Tabletext"/>
              <w:rPr>
                <w:rFonts w:eastAsia="Arial"/>
                <w:highlight w:val="yellow"/>
              </w:rPr>
            </w:pPr>
            <w:r w:rsidRPr="00F41201">
              <w:rPr>
                <w:rFonts w:eastAsia="Arial"/>
              </w:rPr>
              <w:t xml:space="preserve">-38 ± </w:t>
            </w:r>
            <w:r>
              <w:rPr>
                <w:rFonts w:eastAsia="Arial"/>
              </w:rPr>
              <w:t>5</w:t>
            </w:r>
          </w:p>
        </w:tc>
        <w:tc>
          <w:tcPr>
            <w:tcW w:w="770" w:type="pct"/>
            <w:shd w:val="clear" w:color="auto" w:fill="auto"/>
            <w:vAlign w:val="center"/>
          </w:tcPr>
          <w:p w:rsidR="001C5583" w:rsidRPr="00F41201" w:rsidRDefault="001C5583" w:rsidP="00050A5C">
            <w:pPr>
              <w:pStyle w:val="Tabletext"/>
              <w:rPr>
                <w:rFonts w:eastAsia="Arial"/>
                <w:highlight w:val="yellow"/>
              </w:rPr>
            </w:pPr>
            <w:r w:rsidRPr="00F41201">
              <w:rPr>
                <w:rFonts w:eastAsia="Arial"/>
              </w:rPr>
              <w:t xml:space="preserve">-15 ± </w:t>
            </w:r>
            <w:r>
              <w:rPr>
                <w:rFonts w:eastAsia="Arial"/>
              </w:rPr>
              <w:t>5</w:t>
            </w:r>
          </w:p>
        </w:tc>
        <w:tc>
          <w:tcPr>
            <w:tcW w:w="1877" w:type="pct"/>
            <w:vAlign w:val="center"/>
          </w:tcPr>
          <w:p w:rsidR="001C5583" w:rsidRDefault="001C5583" w:rsidP="00050A5C">
            <w:pPr>
              <w:pStyle w:val="Tabletext"/>
              <w:rPr>
                <w:rFonts w:eastAsia="Arial"/>
              </w:rPr>
            </w:pPr>
            <w:r>
              <w:rPr>
                <w:rFonts w:eastAsia="Arial"/>
              </w:rPr>
              <w:t>-19 ± 3 (mean ± SEM)</w:t>
            </w:r>
            <w:r>
              <w:rPr>
                <w:rFonts w:eastAsia="Arial"/>
              </w:rPr>
              <w:fldChar w:fldCharType="begin" w:fldLock="1"/>
            </w:r>
            <w:r>
              <w:rPr>
                <w:rFonts w:eastAsia="Arial"/>
              </w:rPr>
              <w:instrText>ADDIN CSL_CITATION {"citationItems":[{"id":"ITEM-1","itemData":{"DOI":"10.1002/jcp.24095","ISSN":"00219541","PMID":"22495877","abstract":"Breast cancer (BC) has a poor prognosis due to its strong metastatic ability. Accumulating data present ether à go-go (hEag1) K(+) channels as relevant player in controlling cell cycle and proliferation of non-invasive BC cells. However, the role of hEag1 in invasive BC cells migration is still unknown. In this study, we studied both the functional expression and the involvement in cell migration of hEag1 in the highly metastatic MDA-MB-231 human BC cells. We showed that hEag1 mRNA and proteins were expressed in human invasive ductal carcinoma tissues and BC cell lines. Functional activity of hEag1 channels in MDA-MB-231 cells was confirmed using astemizole, a hEag1 blocker, or siRNA. Blocking or silencing hEag1 depolarized the membrane potential and reduced both Ca(2+) entry and MDA-MB-231 cell migration without affecting cell proliferation. Recent studies have reported that Ca(2+) entry through Orai1 channels is required for MDA-MB-231 cell migration. Down-regulation of hEag1 or Orai1 reduced Ca(2+) influx and cell migration with similar efficiency. Interestingly, no additive effects on Ca(2+) influx or cell migration were observed in cells co-transfected with sihEag1 and siOrai1. Finally, both Orai1 and hEag1 are expressed in invasive breast adenocarcinoma tissues and invaded metastatic lymph node samples (LNM(+)). In conclusion, this study is the first to demonstrate that hEag1 channels are involved in the serum-induced migration of BC cells by controlling the Ca(2+) entry through Orai1 channels. hEag1 may therefore represent a potential target for the suppression of BC cell migration, and thus prevention of metastasis development.","author":[{"dropping-particle":"","family":"Hammadi","given":"Mehdi","non-dropping-particle":"","parse-names":false,"suffix":""},{"dropping-particle":"","family":"Chopin","given":"Valérie","non-dropping-particle":"","parse-names":false,"suffix":""},{"dropping-particle":"","family":"Matifat","given":"Fabrice","non-dropping-particle":"","parse-names":false,"suffix":""},{"dropping-particle":"","family":"Dhennin-Duthille","given":"Isabelle","non-dropping-particle":"","parse-names":false,"suffix":""},{"dropping-particle":"","family":"Chasseraud","given":"Maud","non-dropping-particle":"","parse-names":false,"suffix":""},{"dropping-particle":"","family":"Sevestre","given":"Henri","non-dropping-particle":"","parse-names":false,"suffix":""},{"dropping-particle":"","family":"Ouadid-Ahidouch","given":"Halima","non-dropping-particle":"","parse-names":false,"suffix":""}],"container-title":"Journal of Cellular Physiology","id":"ITEM-1","issue":"12","issued":{"date-parts":[["2012"]]},"page":"3837-3846","title":"Human ether à-gogo K+ channel 1 (hEag1) regulates MDA-MB-231 breast cancer cell migration through Orai1-dependent calcium entry","type":"article-journal","volume":"227"},"uris":["http://www.mendeley.com/documents/?uuid=edd1a4c5-5710-4601-9f1f-bdef2145907f"]}],"mendeley":{"formattedCitation":"&lt;sup&gt;90&lt;/sup&gt;","plainTextFormattedCitation":"90","previouslyFormattedCitation":"&lt;sup&gt;90&lt;/sup&gt;"},"properties":{"noteIndex":0},"schema":"https://github.com/citation-style-language/schema/raw/master/csl-citation.json"}</w:instrText>
            </w:r>
            <w:r>
              <w:rPr>
                <w:rFonts w:eastAsia="Arial"/>
              </w:rPr>
              <w:fldChar w:fldCharType="separate"/>
            </w:r>
            <w:r w:rsidRPr="00DA7E6E">
              <w:rPr>
                <w:rFonts w:eastAsia="Arial"/>
                <w:noProof/>
                <w:vertAlign w:val="superscript"/>
              </w:rPr>
              <w:t>90</w:t>
            </w:r>
            <w:r>
              <w:rPr>
                <w:rFonts w:eastAsia="Arial"/>
              </w:rPr>
              <w:fldChar w:fldCharType="end"/>
            </w:r>
          </w:p>
          <w:p w:rsidR="001C5583" w:rsidRDefault="001C5583" w:rsidP="00050A5C">
            <w:pPr>
              <w:pStyle w:val="Tabletext"/>
              <w:rPr>
                <w:rFonts w:eastAsia="Arial"/>
              </w:rPr>
            </w:pPr>
            <w:r>
              <w:rPr>
                <w:rFonts w:eastAsia="Arial"/>
              </w:rPr>
              <w:t>-26 ± 8 (mean ± SEM)</w:t>
            </w:r>
            <w:r>
              <w:rPr>
                <w:rFonts w:eastAsia="Arial"/>
              </w:rPr>
              <w:fldChar w:fldCharType="begin" w:fldLock="1"/>
            </w:r>
            <w:r>
              <w:rPr>
                <w:rFonts w:eastAsia="Arial"/>
              </w:rPr>
              <w:instrText>ADDIN CSL_CITATION {"citationItems":[{"id":"ITEM-1","itemData":{"DOI":"10.18632/oncotarget.16389","ISBN":"1949-2553","ISSN":"1949-2553","PMID":"28415575","abstract":"Many potassium channel families are over-expressed in cancer, but their mechanistic role in disease progression is poorly understood. Potassium channels modulate membrane potential (Vmem) and thereby influence calcium ion dynamics and other voltage-sensitive signaling mechanisms, potentially acting as transcriptional regulators. This study investigated the differential response to over-expression and activation of a cancer-associated potassium channel, the intermediate conductance calcium-activated potassium channel (IK), on aggressive behaviors in mammary epithelial and breast cancer cell lines. IK was over-expressed in the highly metastatic breast cancer cell line MDA-MB-231 and the spontaneously immortalized breast epithelial cell line MCF-10A, and the effect on cancer-associated behaviors was assessed. IK over-expression increased primary tumor growth and metastasis of MDA-MB-231 in orthotopic xenografts, demonstrating for the first time in any cancer type that increased IK is sufficient to promote cancer aggression. The primary tumors had similar vascularization as determined by CD31 staining and similar histological characteristics. Interestingly, despite the increased in vivo growth and metastasis, neither IK over-expression nor activation with agonist had a significant effect on MDA-MB-231 proliferation, invasion, or migration in vitro. In contrast, IK decreased MCF-10A proliferation and invasion through Matrigel but had no effect on migration in a scratch-wound assay. We conclude that IK activity is sufficient to promote cell aggression in vivo. Our data provide novel evidence supporting IK and downstream signaling networks as potential targets for cancer therapies.","author":[{"dropping-particle":"","family":"Thurber","given":"Amy E.","non-dropping-particle":"","parse-names":false,"suffix":""},{"dropping-particle":"","family":"Nelson","given":"Michaela","non-dropping-particle":"","parse-names":false,"suffix":""},{"dropping-particle":"","family":"Frost","given":"Crystal L.","non-dropping-particle":"","parse-names":false,"suffix":""},{"dropping-particle":"","family":"Levin","given":"Michael","non-dropping-particle":"","parse-names":false,"suffix":""},{"dropping-particle":"","family":"Brackenbury","given":"William J.","non-dropping-particle":"","parse-names":false,"suffix":""},{"dropping-particle":"","family":"Kaplan","given":"David L.","non-dropping-particle":"","parse-names":false,"suffix":""}],"container-title":"Oncotarget","id":"ITEM-1","issue":"26","issued":{"date-parts":[["2017"]]},"page":"42382-42397","title":"IK channel activation increases tumor growth and induces differential behavioral responses in two breast epithelial cell lines","type":"article-journal","volume":"8"},"uris":["http://www.mendeley.com/documents/?uuid=d118f743-1752-402e-bba7-d1e1ea4b5f4f"]}],"mendeley":{"formattedCitation":"&lt;sup&gt;91&lt;/sup&gt;","plainTextFormattedCitation":"91","previouslyFormattedCitation":"&lt;sup&gt;91&lt;/sup&gt;"},"properties":{"noteIndex":0},"schema":"https://github.com/citation-style-language/schema/raw/master/csl-citation.json"}</w:instrText>
            </w:r>
            <w:r>
              <w:rPr>
                <w:rFonts w:eastAsia="Arial"/>
              </w:rPr>
              <w:fldChar w:fldCharType="separate"/>
            </w:r>
            <w:r w:rsidRPr="00DA7E6E">
              <w:rPr>
                <w:rFonts w:eastAsia="Arial"/>
                <w:noProof/>
                <w:vertAlign w:val="superscript"/>
              </w:rPr>
              <w:t>91</w:t>
            </w:r>
            <w:r>
              <w:rPr>
                <w:rFonts w:eastAsia="Arial"/>
              </w:rPr>
              <w:fldChar w:fldCharType="end"/>
            </w:r>
          </w:p>
          <w:p w:rsidR="001C5583" w:rsidRPr="004D1246" w:rsidRDefault="001C5583" w:rsidP="00050A5C">
            <w:pPr>
              <w:pStyle w:val="Tabletext"/>
              <w:rPr>
                <w:rFonts w:eastAsia="Arial"/>
              </w:rPr>
            </w:pPr>
            <w:r>
              <w:rPr>
                <w:rFonts w:eastAsia="Arial"/>
              </w:rPr>
              <w:t>-39 ± 5 (mean ± SEM)</w:t>
            </w:r>
            <w:r>
              <w:rPr>
                <w:rFonts w:eastAsia="Arial"/>
              </w:rPr>
              <w:fldChar w:fldCharType="begin" w:fldLock="1"/>
            </w:r>
            <w:r>
              <w:rPr>
                <w:rFonts w:eastAsia="Arial"/>
              </w:rPr>
              <w:instrText>ADDIN CSL_CITATION {"citationItems":[{"id":"ITEM-1","itemData":{"DOI":"10.1186/s12935-016-0348-8","ISSN":"1475-2867","PMID":"27688735","abstract":"BACKGROUND Membrane depolarization is associated with breast cancer. Depolarization-activated voltage-gated ion channels are directly implicated in the initiation, proliferation, and metastasis of breast cancer. METHODS In this study, the role of voltage-gated potassium and calcium ion channel modulation was explored in two different invasive ductal human carcinoma cell lines, MDA-MB-231 (triple-negative) and MCF7 (estrogen-receptor-positive). RESULTS Resting membrane potential is more depolarized in MCF7 and MDA-MB-231 cells compared to normal human mammary epithelial cells. Increasing extracellular potassium concentration up to 50 mM depolarized membrane potential and greatly increased cell growth. Tetraethylammonium (TEA), a non-specific blocker of voltage-gated potassium channels, stimulated growth of MCF7 cells (control group grew by 201 %, 1 mM TEA group grew 376 %). Depolarization-induced calcium influx was hypothesized as a requirement for growth of human breast cancer. Removing calcium from culture medium stopped growth of MDA and MCF7 cells, leading to cell death after 1 week. Verapamil, a blocker of voltage-gated calcium channels clinically used in treating hypertension and coronary disease, inhibited growth of MDA cells at low concentration (10-20 μM) by 73 and 92 % after 1 and 2 days, respectively. At high concentration (100 μM), verapamil killed &gt;90 % of MDA and MCF7 cells after 1 day. Immunoblotting experiments demonstrated that an increased expression of caspase-3, critical in apoptosis signaling, positively correlated with verapamil concentration in MDA cells. In MCF7, caspase-9 expression is increased in response to verapamil. CONCLUSIONS Our results support our hypotheses that membrane depolarization and depolarization-induced calcium influx stimulate proliferation of human breast cancer cells, independently of cancer subtypes. The underlying mechanism of verapamil-induced cell death involves different caspases in MCF7 and MDA-MB-231. These data suggest that voltage-gated potassium and calcium channels may be putative targets for pharmaceutical remediation in human invasive ductal carcinomas.","author":[{"dropping-particle":"","family":"Berzingi","given":"Seher","non-dropping-particle":"","parse-names":false,"suffix":""},{"dropping-particle":"","family":"Newman","given":"Mackenzie","non-dropping-particle":"","parse-names":false,"suffix":""},{"dropping-particle":"","family":"Yu","given":"Han-Gang","non-dropping-particle":"","parse-names":false,"suffix":""}],"container-title":"Cancer cell international","id":"ITEM-1","issued":{"date-parts":[["2016"]]},"page":"72","publisher":"BioMed Central","title":"Altering bioelectricity on inhibition of human breast cancer cells.","type":"article-journal","volume":"16"},"uris":["http://www.mendeley.com/documents/?uuid=7f91c847-c428-307b-a329-48c769d8a985"]}],"mendeley":{"formattedCitation":"&lt;sup&gt;87&lt;/sup&gt;","plainTextFormattedCitation":"87","previouslyFormattedCitation":"&lt;sup&gt;87&lt;/sup&gt;"},"properties":{"noteIndex":0},"schema":"https://github.com/citation-style-language/schema/raw/master/csl-citation.json"}</w:instrText>
            </w:r>
            <w:r>
              <w:rPr>
                <w:rFonts w:eastAsia="Arial"/>
              </w:rPr>
              <w:fldChar w:fldCharType="separate"/>
            </w:r>
            <w:r w:rsidRPr="00DA7E6E">
              <w:rPr>
                <w:rFonts w:eastAsia="Arial"/>
                <w:noProof/>
                <w:vertAlign w:val="superscript"/>
              </w:rPr>
              <w:t>87</w:t>
            </w:r>
            <w:r>
              <w:rPr>
                <w:rFonts w:eastAsia="Arial"/>
              </w:rPr>
              <w:fldChar w:fldCharType="end"/>
            </w:r>
          </w:p>
        </w:tc>
        <w:tc>
          <w:tcPr>
            <w:tcW w:w="575" w:type="pct"/>
            <w:shd w:val="clear" w:color="auto" w:fill="auto"/>
            <w:vAlign w:val="center"/>
          </w:tcPr>
          <w:p w:rsidR="001C5583" w:rsidRPr="004D1246" w:rsidRDefault="001C5583" w:rsidP="00050A5C">
            <w:pPr>
              <w:pStyle w:val="Tabletext"/>
              <w:rPr>
                <w:rFonts w:eastAsia="Arial"/>
              </w:rPr>
            </w:pPr>
            <w:r>
              <w:rPr>
                <w:rFonts w:eastAsia="Arial"/>
              </w:rPr>
              <w:t>-28</w:t>
            </w:r>
          </w:p>
        </w:tc>
      </w:tr>
    </w:tbl>
    <w:p w:rsidR="001C5583" w:rsidRDefault="001C5583" w:rsidP="001C5583">
      <w:pPr>
        <w:pStyle w:val="Textnoindent"/>
        <w:rPr>
          <w:b/>
        </w:rPr>
      </w:pPr>
    </w:p>
    <w:p w:rsidR="009A4D7E" w:rsidRDefault="001C5583" w:rsidP="001C5583">
      <w:pPr>
        <w:ind w:firstLine="0"/>
      </w:pPr>
      <w:r>
        <w:rPr>
          <w:b/>
        </w:rPr>
        <w:t>Fig. 3, Source Data 1</w:t>
      </w:r>
      <w:r w:rsidRPr="00467DC0">
        <w:rPr>
          <w:b/>
        </w:rPr>
        <w:t xml:space="preserve">. </w:t>
      </w:r>
      <w:r w:rsidRPr="00F709FC">
        <w:t>V</w:t>
      </w:r>
      <w:r w:rsidRPr="00F709FC">
        <w:rPr>
          <w:vertAlign w:val="subscript"/>
        </w:rPr>
        <w:t>mem</w:t>
      </w:r>
      <w:r w:rsidRPr="00F709FC">
        <w:t xml:space="preserve"> measurements made with VF-FLIM agree with previously reported values. </w:t>
      </w:r>
      <w:r>
        <w:t>C</w:t>
      </w:r>
      <w:r w:rsidRPr="00467DC0">
        <w:t xml:space="preserve">omparison of optically-determined resting membrane potential values </w:t>
      </w:r>
      <w:r>
        <w:t>(in millivolts) and previously reported values</w:t>
      </w:r>
      <w:r w:rsidRPr="00467DC0">
        <w:t xml:space="preserve">. This table </w:t>
      </w:r>
      <w:r>
        <w:t>summarizes data presented in</w:t>
      </w:r>
      <w:r w:rsidRPr="00467DC0">
        <w:t xml:space="preserve"> </w:t>
      </w:r>
      <w:r w:rsidRPr="001C5583">
        <w:rPr>
          <w:rStyle w:val="Hyperlink"/>
        </w:rPr>
        <w:t>Fig. 3</w:t>
      </w:r>
      <w:r w:rsidRPr="00467DC0">
        <w:t xml:space="preserve"> </w:t>
      </w:r>
      <w:r>
        <w:t xml:space="preserve">and </w:t>
      </w:r>
      <w:r w:rsidRPr="001C5583">
        <w:rPr>
          <w:rStyle w:val="Hyperlink"/>
        </w:rPr>
        <w:t>Fi</w:t>
      </w:r>
      <w:r w:rsidRPr="001C5583">
        <w:rPr>
          <w:rStyle w:val="Hyperlink"/>
        </w:rPr>
        <w:t>g</w:t>
      </w:r>
      <w:r w:rsidRPr="001C5583">
        <w:rPr>
          <w:rStyle w:val="Hyperlink"/>
        </w:rPr>
        <w:t>. 3 – supplement 1</w:t>
      </w:r>
      <w:r w:rsidRPr="00467DC0">
        <w:t>. Optically determined membrane potentials were calculated from lifetime-V</w:t>
      </w:r>
      <w:r w:rsidRPr="00467DC0">
        <w:rPr>
          <w:vertAlign w:val="subscript"/>
        </w:rPr>
        <w:t>mem</w:t>
      </w:r>
      <w:r w:rsidRPr="00467DC0">
        <w:t xml:space="preserve"> standard curves (</w:t>
      </w:r>
      <w:r w:rsidRPr="001C5583">
        <w:rPr>
          <w:rStyle w:val="Hyperlink"/>
        </w:rPr>
        <w:t xml:space="preserve">Fig. 2 – </w:t>
      </w:r>
      <w:bookmarkStart w:id="0" w:name="_GoBack"/>
      <w:bookmarkEnd w:id="0"/>
      <w:r w:rsidRPr="001C5583">
        <w:rPr>
          <w:rStyle w:val="Hyperlink"/>
        </w:rPr>
        <w:t>source</w:t>
      </w:r>
      <w:r>
        <w:rPr>
          <w:rStyle w:val="Hyperlink"/>
        </w:rPr>
        <w:t xml:space="preserve"> data 1</w:t>
      </w:r>
      <w:r w:rsidRPr="00467DC0">
        <w:t xml:space="preserve">). </w:t>
      </w:r>
      <w:r>
        <w:t xml:space="preserve">For tabulated literature values, measures of error and central tendency were used from the original publication. In some cases, none were given or only ranges were discussed. The mean of the reported </w:t>
      </w:r>
      <w:proofErr w:type="spellStart"/>
      <w:r>
        <w:t>ephys</w:t>
      </w:r>
      <w:proofErr w:type="spellEnd"/>
      <w:r>
        <w:t xml:space="preserve"> values is the mean of the values listed here. </w:t>
      </w:r>
      <w:r>
        <w:rPr>
          <w:szCs w:val="24"/>
        </w:rPr>
        <w:lastRenderedPageBreak/>
        <w:t>Sample sizes for resting and elevated K</w:t>
      </w:r>
      <w:r w:rsidRPr="00F41201">
        <w:rPr>
          <w:szCs w:val="24"/>
          <w:vertAlign w:val="superscript"/>
        </w:rPr>
        <w:t>+</w:t>
      </w:r>
      <w:r>
        <w:rPr>
          <w:szCs w:val="24"/>
        </w:rPr>
        <w:t>, respectively: A431 1056, 368; CHO 2410, 1310; HEK293T 1613, 520; MCF-7 1259, 681; MDA-MB-231 1840, 558.</w:t>
      </w:r>
    </w:p>
    <w:sectPr w:rsidR="009A4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83"/>
    <w:rsid w:val="001C5583"/>
    <w:rsid w:val="009A4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2B6C9-C4A9-461F-AF56-781F2896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5583"/>
    <w:pPr>
      <w:spacing w:after="0" w:line="480" w:lineRule="auto"/>
      <w:ind w:firstLine="720"/>
      <w:jc w:val="both"/>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1C5583"/>
    <w:pPr>
      <w:keepNext/>
      <w:ind w:firstLine="0"/>
      <w:outlineLvl w:val="2"/>
    </w:pPr>
    <w:rPr>
      <w:rFonts w:ascii="Times" w:eastAsia="Times"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C5583"/>
    <w:rPr>
      <w:rFonts w:ascii="Times" w:eastAsia="Times" w:hAnsi="Times" w:cs="Times New Roman"/>
      <w:b/>
      <w:sz w:val="24"/>
      <w:szCs w:val="20"/>
    </w:rPr>
  </w:style>
  <w:style w:type="character" w:styleId="Hyperlink">
    <w:name w:val="Hyperlink"/>
    <w:basedOn w:val="DefaultParagraphFont"/>
    <w:rsid w:val="001C5583"/>
    <w:rPr>
      <w:b/>
      <w:color w:val="auto"/>
      <w:u w:val="none"/>
    </w:rPr>
  </w:style>
  <w:style w:type="paragraph" w:customStyle="1" w:styleId="Tabletext">
    <w:name w:val="Table text"/>
    <w:basedOn w:val="Normal"/>
    <w:qFormat/>
    <w:rsid w:val="001C5583"/>
    <w:pPr>
      <w:spacing w:line="240" w:lineRule="auto"/>
      <w:ind w:firstLine="0"/>
      <w:jc w:val="center"/>
    </w:pPr>
    <w:rPr>
      <w:szCs w:val="24"/>
    </w:rPr>
  </w:style>
  <w:style w:type="paragraph" w:customStyle="1" w:styleId="Textnoindent">
    <w:name w:val="Text no indent"/>
    <w:basedOn w:val="Normal"/>
    <w:link w:val="TextnoindentChar"/>
    <w:qFormat/>
    <w:rsid w:val="001C5583"/>
    <w:pPr>
      <w:ind w:firstLine="0"/>
    </w:pPr>
    <w:rPr>
      <w:rFonts w:eastAsia="Arial"/>
    </w:rPr>
  </w:style>
  <w:style w:type="character" w:customStyle="1" w:styleId="TextnoindentChar">
    <w:name w:val="Text no indent Char"/>
    <w:basedOn w:val="DefaultParagraphFont"/>
    <w:link w:val="Textnoindent"/>
    <w:rsid w:val="001C5583"/>
    <w:rPr>
      <w:rFonts w:ascii="Times New Roman" w:eastAsia="Arial" w:hAnsi="Times New Roman" w:cs="Times New Roman"/>
      <w:sz w:val="24"/>
      <w:szCs w:val="20"/>
    </w:rPr>
  </w:style>
  <w:style w:type="character" w:styleId="FollowedHyperlink">
    <w:name w:val="FollowedHyperlink"/>
    <w:basedOn w:val="DefaultParagraphFont"/>
    <w:uiPriority w:val="99"/>
    <w:semiHidden/>
    <w:unhideWhenUsed/>
    <w:rsid w:val="001C55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6365</Words>
  <Characters>36285</Characters>
  <Application>Microsoft Office Word</Application>
  <DocSecurity>0</DocSecurity>
  <Lines>302</Lines>
  <Paragraphs>85</Paragraphs>
  <ScaleCrop>false</ScaleCrop>
  <Company/>
  <LinksUpToDate>false</LinksUpToDate>
  <CharactersWithSpaces>42565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JLD</dc:creator>
  <cp:keywords/>
  <dc:description/>
  <cp:lastModifiedBy>JLD</cp:lastModifiedBy>
  <cp:revision>1</cp:revision>
  <dcterms:created xsi:type="dcterms:W3CDTF">2019-06-25T19:13:00Z</dcterms:created>
  <dcterms:modified xsi:type="dcterms:W3CDTF">2019-06-25T19:14:00Z</dcterms:modified>
</cp:coreProperties>
</file>