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4E0A4B" w:rsidR="00877644" w:rsidRPr="00125190" w:rsidRDefault="0007567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C3B9D">
        <w:rPr>
          <w:rFonts w:asciiTheme="minorHAnsi" w:hAnsiTheme="minorHAnsi"/>
          <w:sz w:val="22"/>
          <w:szCs w:val="22"/>
        </w:rPr>
        <w:t>A discussion of sample sizes can be found in the “Statistical Analysis” sub-section of the “Methods” section. Sample sizes are listed throughout the figu</w:t>
      </w:r>
      <w:r w:rsidR="004C3B9D">
        <w:rPr>
          <w:rFonts w:asciiTheme="minorHAnsi" w:hAnsiTheme="minorHAnsi"/>
          <w:sz w:val="22"/>
          <w:szCs w:val="22"/>
        </w:rPr>
        <w:t>res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247FD3" w14:textId="2F502478" w:rsidR="0007567F" w:rsidRPr="0007567F" w:rsidRDefault="0007567F" w:rsidP="000756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567F">
        <w:rPr>
          <w:rFonts w:asciiTheme="minorHAnsi" w:hAnsiTheme="minorHAnsi"/>
          <w:sz w:val="22"/>
          <w:szCs w:val="22"/>
        </w:rPr>
        <w:t xml:space="preserve">A </w:t>
      </w:r>
      <w:r w:rsidRPr="0007567F">
        <w:rPr>
          <w:rFonts w:asciiTheme="minorHAnsi" w:hAnsiTheme="minorHAnsi"/>
          <w:sz w:val="22"/>
          <w:szCs w:val="22"/>
        </w:rPr>
        <w:t>general discussion of biological versus technical replicates</w:t>
      </w:r>
      <w:r w:rsidRPr="0007567F">
        <w:rPr>
          <w:rFonts w:asciiTheme="minorHAnsi" w:hAnsiTheme="minorHAnsi"/>
          <w:sz w:val="22"/>
          <w:szCs w:val="22"/>
        </w:rPr>
        <w:t xml:space="preserve"> can be found in the “Statistical Analysis” sub-section of the Methods section.</w:t>
      </w:r>
      <w:r w:rsidRPr="0007567F">
        <w:rPr>
          <w:rFonts w:asciiTheme="minorHAnsi" w:hAnsiTheme="minorHAnsi"/>
          <w:sz w:val="22"/>
          <w:szCs w:val="22"/>
        </w:rPr>
        <w:t xml:space="preserve"> The sample size is enumerated in the figure legends wherever data are presented. An explanation of our definition of a group of cells (for sample size in membrane potential analysis) is contained in the “Det</w:t>
      </w:r>
      <w:r w:rsidR="004C3B9D">
        <w:rPr>
          <w:rFonts w:asciiTheme="minorHAnsi" w:hAnsiTheme="minorHAnsi"/>
          <w:sz w:val="22"/>
          <w:szCs w:val="22"/>
        </w:rPr>
        <w:t>ermination of</w:t>
      </w:r>
      <w:r w:rsidRPr="0007567F">
        <w:rPr>
          <w:rFonts w:asciiTheme="minorHAnsi" w:hAnsiTheme="minorHAnsi"/>
          <w:sz w:val="22"/>
          <w:szCs w:val="22"/>
        </w:rPr>
        <w:t xml:space="preserve"> Regions of Interest” sub-section of the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9231EB3" w14:textId="6B1E1C96" w:rsidR="0007567F" w:rsidRPr="00505C51" w:rsidRDefault="004C3B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tests, p value ranges, exact values of N, and</w:t>
      </w:r>
      <w:r w:rsidR="0007567F">
        <w:rPr>
          <w:rFonts w:asciiTheme="minorHAnsi" w:hAnsiTheme="minorHAnsi"/>
          <w:sz w:val="22"/>
          <w:szCs w:val="22"/>
        </w:rPr>
        <w:t xml:space="preserve"> measures of dispersion and precision are listed in the figure legends where they appear. </w:t>
      </w:r>
      <w:r>
        <w:rPr>
          <w:rFonts w:asciiTheme="minorHAnsi" w:hAnsiTheme="minorHAnsi"/>
          <w:sz w:val="22"/>
          <w:szCs w:val="22"/>
        </w:rPr>
        <w:t>A</w:t>
      </w:r>
      <w:r w:rsidR="0007567F">
        <w:rPr>
          <w:rFonts w:asciiTheme="minorHAnsi" w:hAnsiTheme="minorHAnsi"/>
          <w:sz w:val="22"/>
          <w:szCs w:val="22"/>
        </w:rPr>
        <w:t xml:space="preserve"> summary of general procedures is available under the “Statistical Analysis” subsection of the Methods section. </w:t>
      </w:r>
      <w:r>
        <w:rPr>
          <w:rFonts w:asciiTheme="minorHAnsi" w:hAnsiTheme="minorHAnsi"/>
          <w:sz w:val="22"/>
          <w:szCs w:val="22"/>
        </w:rPr>
        <w:t xml:space="preserve">Our definition of a sample or replicate </w:t>
      </w:r>
      <w:r w:rsidR="0007567F">
        <w:rPr>
          <w:rFonts w:asciiTheme="minorHAnsi" w:hAnsiTheme="minorHAnsi"/>
          <w:sz w:val="22"/>
          <w:szCs w:val="22"/>
        </w:rPr>
        <w:t>is enumerated under “Determination of Regions of Interest” in the Methods section. An explanation of voltage resolution calculations is available under “Resolution of VF-FLIM Voltage Determination.”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39921498" w:rsidR="00BC3CCE" w:rsidRPr="00505C51" w:rsidRDefault="004C3B9D" w:rsidP="004C3B9D">
      <w:pPr>
        <w:framePr w:w="7817" w:h="505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described</w:t>
      </w:r>
      <w:r w:rsidR="0007567F">
        <w:rPr>
          <w:rFonts w:asciiTheme="minorHAnsi" w:hAnsiTheme="minorHAnsi"/>
          <w:sz w:val="22"/>
          <w:szCs w:val="22"/>
        </w:rPr>
        <w:t xml:space="preserve"> in the “Statistical Analysis” subsection of the Methods section.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381770BC" w14:textId="77777777" w:rsidR="004C3B9D" w:rsidRPr="00505C51" w:rsidRDefault="004C3B9D" w:rsidP="004C3B9D">
      <w:pPr>
        <w:framePr w:w="7817" w:h="397" w:hSpace="180" w:wrap="around" w:vAnchor="text" w:hAnchor="page" w:x="1849" w:y="4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3F472" w14:textId="77777777" w:rsidR="00312E31" w:rsidRDefault="00312E31" w:rsidP="004215FE">
      <w:r>
        <w:separator/>
      </w:r>
    </w:p>
  </w:endnote>
  <w:endnote w:type="continuationSeparator" w:id="0">
    <w:p w14:paraId="5D001A8D" w14:textId="77777777" w:rsidR="00312E31" w:rsidRDefault="00312E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5F298AA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C3B9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A24AA" w14:textId="77777777" w:rsidR="00312E31" w:rsidRDefault="00312E31" w:rsidP="004215FE">
      <w:r>
        <w:separator/>
      </w:r>
    </w:p>
  </w:footnote>
  <w:footnote w:type="continuationSeparator" w:id="0">
    <w:p w14:paraId="53D7F65A" w14:textId="77777777" w:rsidR="00312E31" w:rsidRDefault="00312E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567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5362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2E31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3B9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0D0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2DAF471-421B-474E-859F-8A3DF608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EA7DE0-EC6E-481F-8E9E-63022354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Julia</cp:lastModifiedBy>
  <cp:revision>3</cp:revision>
  <dcterms:created xsi:type="dcterms:W3CDTF">2019-02-12T23:21:00Z</dcterms:created>
  <dcterms:modified xsi:type="dcterms:W3CDTF">2019-02-13T05:35:00Z</dcterms:modified>
</cp:coreProperties>
</file>