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DE7143" w14:textId="6A81E0AC" w:rsidR="00C06DEE" w:rsidRDefault="004363F5" w:rsidP="00933C05">
      <w:r>
        <w:rPr>
          <w:noProof/>
          <w:lang w:val="fr-FR"/>
        </w:rPr>
        <w:drawing>
          <wp:inline distT="0" distB="0" distL="0" distR="0" wp14:anchorId="4400CB8B" wp14:editId="0A16C4D8">
            <wp:extent cx="4431665" cy="7352030"/>
            <wp:effectExtent l="0" t="0" r="0" b="0"/>
            <wp:docPr id="6" name="Image 6" descr="Macintosh HD:Users:platel:Desktop:Platel NN March 2018:final:Platel_NN_October2018:ext fig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platel:Desktop:Platel NN March 2018:final:Platel_NN_October2018:ext fig1.t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431665" cy="7352030"/>
                    </a:xfrm>
                    <a:prstGeom prst="rect">
                      <a:avLst/>
                    </a:prstGeom>
                    <a:noFill/>
                    <a:ln>
                      <a:noFill/>
                    </a:ln>
                  </pic:spPr>
                </pic:pic>
              </a:graphicData>
            </a:graphic>
          </wp:inline>
        </w:drawing>
      </w:r>
    </w:p>
    <w:p w14:paraId="61ABEC15" w14:textId="77777777" w:rsidR="00C06DEE" w:rsidRDefault="00C06DEE" w:rsidP="00C06DEE"/>
    <w:p w14:paraId="1B8CCC2E" w14:textId="15E50B1D" w:rsidR="00C06DEE" w:rsidRDefault="004E7D19" w:rsidP="00C06DEE">
      <w:pPr>
        <w:rPr>
          <w:rFonts w:ascii="Arial" w:hAnsi="Arial" w:cs="Arial"/>
          <w:sz w:val="22"/>
          <w:szCs w:val="22"/>
        </w:rPr>
      </w:pPr>
      <w:r>
        <w:rPr>
          <w:rFonts w:ascii="Arial" w:hAnsi="Arial" w:cs="Arial"/>
          <w:sz w:val="22"/>
          <w:szCs w:val="22"/>
        </w:rPr>
        <w:t xml:space="preserve">Figure1 Supplement </w:t>
      </w:r>
      <w:r w:rsidR="00C06DEE" w:rsidRPr="00FD2942">
        <w:rPr>
          <w:rFonts w:ascii="Arial" w:hAnsi="Arial" w:cs="Arial"/>
          <w:sz w:val="22"/>
          <w:szCs w:val="22"/>
        </w:rPr>
        <w:t>1</w:t>
      </w:r>
    </w:p>
    <w:p w14:paraId="302F4C42" w14:textId="660DD358" w:rsidR="00671806" w:rsidRPr="00CF34AF" w:rsidRDefault="00671806" w:rsidP="00671806">
      <w:pPr>
        <w:rPr>
          <w:rFonts w:ascii="Arial" w:hAnsi="Arial" w:cs="Arial"/>
          <w:sz w:val="22"/>
          <w:szCs w:val="22"/>
        </w:rPr>
      </w:pPr>
      <w:r w:rsidRPr="00CF34AF">
        <w:rPr>
          <w:rFonts w:ascii="Arial" w:hAnsi="Arial" w:cs="Arial"/>
          <w:sz w:val="22"/>
          <w:szCs w:val="22"/>
        </w:rPr>
        <w:t xml:space="preserve">a. Immunostaining for the microglial marker iba1 demonstrates the absence of a detectable microglia reaction at 1-day post surgery. </w:t>
      </w:r>
    </w:p>
    <w:p w14:paraId="218D56D2" w14:textId="77777777" w:rsidR="00671806" w:rsidRPr="00CF34AF" w:rsidRDefault="00671806" w:rsidP="00671806">
      <w:pPr>
        <w:rPr>
          <w:rFonts w:ascii="Arial" w:hAnsi="Arial" w:cs="Arial"/>
          <w:sz w:val="22"/>
          <w:szCs w:val="22"/>
        </w:rPr>
      </w:pPr>
      <w:r w:rsidRPr="00CF34AF">
        <w:rPr>
          <w:rFonts w:ascii="Arial" w:hAnsi="Arial" w:cs="Arial"/>
          <w:sz w:val="22"/>
          <w:szCs w:val="22"/>
        </w:rPr>
        <w:t>b. Comparison of GFAP staining in the OB. Control and window carrying OB are indistinguishable at 1-week post surgery.</w:t>
      </w:r>
    </w:p>
    <w:p w14:paraId="46487DC5" w14:textId="77777777" w:rsidR="00671806" w:rsidRPr="00CF34AF" w:rsidRDefault="00671806" w:rsidP="00671806">
      <w:pPr>
        <w:rPr>
          <w:rFonts w:ascii="Arial" w:hAnsi="Arial" w:cs="Arial"/>
          <w:sz w:val="22"/>
          <w:szCs w:val="22"/>
        </w:rPr>
      </w:pPr>
      <w:r w:rsidRPr="00CF34AF">
        <w:rPr>
          <w:rFonts w:ascii="Arial" w:hAnsi="Arial" w:cs="Arial"/>
          <w:sz w:val="22"/>
          <w:szCs w:val="22"/>
        </w:rPr>
        <w:t xml:space="preserve">c. Immunostaining for the microglial marker iba1 demonstrates the absence of a detectable microglia reaction at 1-week post surgery. Scale bar: 10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a, 50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b</w:t>
      </w:r>
      <w:proofErr w:type="gramStart"/>
      <w:r w:rsidRPr="00CF34AF">
        <w:rPr>
          <w:rFonts w:ascii="Arial" w:hAnsi="Arial" w:cs="Arial"/>
          <w:sz w:val="22"/>
          <w:szCs w:val="22"/>
        </w:rPr>
        <w:t>,c</w:t>
      </w:r>
      <w:proofErr w:type="gramEnd"/>
      <w:r w:rsidRPr="00CF34AF">
        <w:rPr>
          <w:rFonts w:ascii="Arial" w:hAnsi="Arial" w:cs="Arial"/>
          <w:sz w:val="22"/>
          <w:szCs w:val="22"/>
        </w:rPr>
        <w:t>.</w:t>
      </w:r>
    </w:p>
    <w:p w14:paraId="6EC23EF3" w14:textId="77777777" w:rsidR="00C06DEE" w:rsidRDefault="00C06DEE" w:rsidP="00C06DEE"/>
    <w:p w14:paraId="2CF5EB3C" w14:textId="77777777" w:rsidR="00C06DEE" w:rsidRDefault="00C06DEE" w:rsidP="00C06DEE">
      <w:r>
        <w:rPr>
          <w:noProof/>
          <w:lang w:val="fr-FR"/>
        </w:rPr>
        <w:lastRenderedPageBreak/>
        <w:drawing>
          <wp:inline distT="0" distB="0" distL="0" distR="0" wp14:anchorId="5983986F" wp14:editId="287BB4FD">
            <wp:extent cx="5751830" cy="1393825"/>
            <wp:effectExtent l="0" t="0" r="0" b="3175"/>
            <wp:docPr id="2" name="Image 2" descr="Macintosh HD:Users:platel:Desktop:labo:article in progress:papier survival 2016:figure:ext fig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latel:Desktop:labo:article in progress:papier survival 2016:figure:ext fig2.tif"/>
                    <pic:cNvPicPr>
                      <a:picLocks noChangeAspect="1" noChangeArrowheads="1"/>
                    </pic:cNvPicPr>
                  </pic:nvPicPr>
                  <pic:blipFill>
                    <a:blip r:embed="rId6" cstate="print">
                      <a:extLst>
                        <a:ext uri="{28A0092B-C50C-407E-A947-70E740481C1C}">
                          <a14:useLocalDpi xmlns:a14="http://schemas.microsoft.com/office/drawing/2010/main"/>
                        </a:ext>
                      </a:extLst>
                    </a:blip>
                    <a:srcRect/>
                    <a:stretch>
                      <a:fillRect/>
                    </a:stretch>
                  </pic:blipFill>
                  <pic:spPr bwMode="auto">
                    <a:xfrm>
                      <a:off x="0" y="0"/>
                      <a:ext cx="5751830" cy="1393825"/>
                    </a:xfrm>
                    <a:prstGeom prst="rect">
                      <a:avLst/>
                    </a:prstGeom>
                    <a:noFill/>
                    <a:ln>
                      <a:noFill/>
                    </a:ln>
                  </pic:spPr>
                </pic:pic>
              </a:graphicData>
            </a:graphic>
          </wp:inline>
        </w:drawing>
      </w:r>
    </w:p>
    <w:p w14:paraId="714E397B" w14:textId="77777777" w:rsidR="00C06DEE" w:rsidRDefault="00C06DEE" w:rsidP="00C06DEE"/>
    <w:p w14:paraId="610017F8" w14:textId="77777777" w:rsidR="00C06DEE" w:rsidRDefault="00C06DEE" w:rsidP="00C06DEE">
      <w:pPr>
        <w:rPr>
          <w:rFonts w:ascii="Arial" w:hAnsi="Arial" w:cs="Arial"/>
          <w:sz w:val="22"/>
          <w:szCs w:val="22"/>
        </w:rPr>
      </w:pPr>
    </w:p>
    <w:p w14:paraId="5BA481B3" w14:textId="75CA9178" w:rsidR="00C06DEE" w:rsidRDefault="004E7D19" w:rsidP="00C06DEE">
      <w:pPr>
        <w:rPr>
          <w:rFonts w:ascii="Arial" w:hAnsi="Arial" w:cs="Arial"/>
          <w:sz w:val="22"/>
          <w:szCs w:val="22"/>
        </w:rPr>
      </w:pPr>
      <w:r>
        <w:rPr>
          <w:rFonts w:ascii="Arial" w:hAnsi="Arial" w:cs="Arial"/>
          <w:sz w:val="22"/>
          <w:szCs w:val="22"/>
        </w:rPr>
        <w:t xml:space="preserve">Figure 1 Supplement </w:t>
      </w:r>
      <w:r w:rsidR="00C06DEE" w:rsidRPr="00FD2942">
        <w:rPr>
          <w:rFonts w:ascii="Arial" w:hAnsi="Arial" w:cs="Arial"/>
          <w:sz w:val="22"/>
          <w:szCs w:val="22"/>
        </w:rPr>
        <w:t>2</w:t>
      </w:r>
    </w:p>
    <w:p w14:paraId="0841233D" w14:textId="77777777" w:rsidR="00671806" w:rsidRPr="00CF34AF" w:rsidRDefault="00671806" w:rsidP="00671806">
      <w:pPr>
        <w:rPr>
          <w:rFonts w:ascii="Arial" w:hAnsi="Arial" w:cs="Arial"/>
          <w:sz w:val="22"/>
          <w:szCs w:val="22"/>
        </w:rPr>
      </w:pPr>
    </w:p>
    <w:p w14:paraId="45F1977A" w14:textId="77777777" w:rsidR="00671806" w:rsidRPr="00CF34AF" w:rsidRDefault="00671806" w:rsidP="00671806">
      <w:pPr>
        <w:rPr>
          <w:rFonts w:ascii="Arial" w:hAnsi="Arial" w:cs="Arial"/>
          <w:sz w:val="22"/>
          <w:szCs w:val="22"/>
        </w:rPr>
      </w:pPr>
      <w:r w:rsidRPr="00CF34AF">
        <w:rPr>
          <w:rFonts w:ascii="Arial" w:hAnsi="Arial" w:cs="Arial"/>
          <w:sz w:val="22"/>
          <w:szCs w:val="22"/>
        </w:rPr>
        <w:t xml:space="preserve">A. XZ projection of the OB showing that the PGL, EPL and the superficial GCL can be reached through a thin skull preparation. b. Example of Z-projection identifying individual granule neurons between 3 and 10 weeks post induction in perinatal mice. The first cohort is numbered. Additional neurons of later cohorts appeared in the observation window over successive imaging sessions (arrowheads). Scale bar: 50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a, 30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b.</w:t>
      </w:r>
    </w:p>
    <w:p w14:paraId="77DC2C59" w14:textId="77777777" w:rsidR="00C06DEE" w:rsidRDefault="00C06DEE" w:rsidP="00C06DEE"/>
    <w:p w14:paraId="549E5409" w14:textId="6DFA1A79" w:rsidR="00C06DEE" w:rsidRDefault="008401FC" w:rsidP="00C06DEE">
      <w:r>
        <w:rPr>
          <w:noProof/>
          <w:lang w:val="fr-FR"/>
        </w:rPr>
        <w:drawing>
          <wp:inline distT="0" distB="0" distL="0" distR="0" wp14:anchorId="7D0A113B" wp14:editId="7AD239A3">
            <wp:extent cx="5751830" cy="6843395"/>
            <wp:effectExtent l="0" t="0" r="0" b="0"/>
            <wp:docPr id="9" name="Image 9" descr="Macintosh HD:Users:platel:Desktop:Platel NN March 2018:final:Platel_NN_October2018:ext fig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latel:Desktop:Platel NN March 2018:final:Platel_NN_October2018:ext fig3.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1830" cy="6843395"/>
                    </a:xfrm>
                    <a:prstGeom prst="rect">
                      <a:avLst/>
                    </a:prstGeom>
                    <a:noFill/>
                    <a:ln>
                      <a:noFill/>
                    </a:ln>
                  </pic:spPr>
                </pic:pic>
              </a:graphicData>
            </a:graphic>
          </wp:inline>
        </w:drawing>
      </w:r>
    </w:p>
    <w:p w14:paraId="590AB7DB" w14:textId="77777777" w:rsidR="00C06DEE" w:rsidRDefault="00C06DEE" w:rsidP="00C06DEE"/>
    <w:p w14:paraId="0B3C3D8E" w14:textId="432F953E" w:rsidR="00C06DEE" w:rsidRDefault="004E7D19" w:rsidP="00C06DEE">
      <w:pPr>
        <w:rPr>
          <w:rFonts w:ascii="Arial" w:hAnsi="Arial" w:cs="Arial"/>
          <w:sz w:val="22"/>
          <w:szCs w:val="22"/>
        </w:rPr>
      </w:pPr>
      <w:r>
        <w:rPr>
          <w:rFonts w:ascii="Arial" w:hAnsi="Arial" w:cs="Arial"/>
          <w:sz w:val="22"/>
          <w:szCs w:val="22"/>
        </w:rPr>
        <w:t xml:space="preserve">Figure 1 Supplement </w:t>
      </w:r>
      <w:r w:rsidR="00C06DEE" w:rsidRPr="00FD2942">
        <w:rPr>
          <w:rFonts w:ascii="Arial" w:hAnsi="Arial" w:cs="Arial"/>
          <w:sz w:val="22"/>
          <w:szCs w:val="22"/>
        </w:rPr>
        <w:t>3</w:t>
      </w:r>
    </w:p>
    <w:p w14:paraId="05DDB0F5" w14:textId="77777777" w:rsidR="00671806" w:rsidRPr="00CF34AF" w:rsidRDefault="00671806" w:rsidP="00671806">
      <w:pPr>
        <w:rPr>
          <w:rFonts w:ascii="Arial" w:hAnsi="Arial" w:cs="Arial"/>
          <w:sz w:val="22"/>
          <w:szCs w:val="22"/>
        </w:rPr>
      </w:pPr>
      <w:r w:rsidRPr="00CF34AF">
        <w:rPr>
          <w:rFonts w:ascii="Arial" w:hAnsi="Arial" w:cs="Arial" w:hint="eastAsia"/>
          <w:sz w:val="22"/>
          <w:szCs w:val="22"/>
        </w:rPr>
        <w:t>Image and table exemplifying how perinatally (a</w:t>
      </w:r>
      <w:proofErr w:type="gramStart"/>
      <w:r w:rsidRPr="00CF34AF">
        <w:rPr>
          <w:rFonts w:ascii="Arial" w:hAnsi="Arial" w:cs="Arial" w:hint="eastAsia"/>
          <w:sz w:val="22"/>
          <w:szCs w:val="22"/>
        </w:rPr>
        <w:t>,b</w:t>
      </w:r>
      <w:proofErr w:type="gramEnd"/>
      <w:r w:rsidRPr="00CF34AF">
        <w:rPr>
          <w:rFonts w:ascii="Arial" w:hAnsi="Arial" w:cs="Arial" w:hint="eastAsia"/>
          <w:sz w:val="22"/>
          <w:szCs w:val="22"/>
        </w:rPr>
        <w:t xml:space="preserve">)  and adult (c,d) generated neurons were scored over the critical period (for a,b compare also Fig. 1d). Scale bar: 50 </w:t>
      </w:r>
      <w:r w:rsidRPr="00CF34AF">
        <w:rPr>
          <w:rFonts w:ascii="Arial" w:hAnsi="Arial" w:cs="Arial" w:hint="eastAsia"/>
          <w:sz w:val="22"/>
          <w:szCs w:val="22"/>
        </w:rPr>
        <w:t>μ</w:t>
      </w:r>
      <w:r w:rsidRPr="00CF34AF">
        <w:rPr>
          <w:rFonts w:ascii="Arial" w:hAnsi="Arial" w:cs="Arial" w:hint="eastAsia"/>
          <w:sz w:val="22"/>
          <w:szCs w:val="22"/>
        </w:rPr>
        <w:t xml:space="preserve">m in a, 20 </w:t>
      </w:r>
      <w:r w:rsidRPr="00CF34AF">
        <w:rPr>
          <w:rFonts w:ascii="Arial" w:hAnsi="Arial" w:cs="Arial" w:hint="eastAsia"/>
          <w:sz w:val="22"/>
          <w:szCs w:val="22"/>
        </w:rPr>
        <w:t>μ</w:t>
      </w:r>
      <w:r w:rsidRPr="00CF34AF">
        <w:rPr>
          <w:rFonts w:ascii="Arial" w:hAnsi="Arial" w:cs="Arial" w:hint="eastAsia"/>
          <w:sz w:val="22"/>
          <w:szCs w:val="22"/>
        </w:rPr>
        <w:t xml:space="preserve">m b. </w:t>
      </w:r>
    </w:p>
    <w:p w14:paraId="211220C4" w14:textId="77777777" w:rsidR="00C06DEE" w:rsidRPr="00FD2942" w:rsidRDefault="00C06DEE" w:rsidP="00C06DEE">
      <w:pPr>
        <w:rPr>
          <w:rFonts w:ascii="Arial" w:hAnsi="Arial" w:cs="Arial"/>
          <w:sz w:val="22"/>
          <w:szCs w:val="22"/>
        </w:rPr>
      </w:pPr>
    </w:p>
    <w:p w14:paraId="75887A3F" w14:textId="77777777" w:rsidR="00C06DEE" w:rsidRDefault="00C06DEE" w:rsidP="00C06DEE">
      <w:pPr>
        <w:ind w:firstLine="1276"/>
      </w:pPr>
      <w:r>
        <w:rPr>
          <w:noProof/>
          <w:lang w:val="fr-FR"/>
        </w:rPr>
        <w:drawing>
          <wp:inline distT="0" distB="0" distL="0" distR="0" wp14:anchorId="603E02A6" wp14:editId="45F88C1F">
            <wp:extent cx="3657743" cy="4894133"/>
            <wp:effectExtent l="0" t="0" r="0" b="8255"/>
            <wp:docPr id="4" name="Image 4" descr="Macintosh HD:Users:platel:Desktop:labo:article in progress:papier survival 2016:figure:final:ext fig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latel:Desktop:labo:article in progress:papier survival 2016:figure:final:ext fig4.tif"/>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657743" cy="4894133"/>
                    </a:xfrm>
                    <a:prstGeom prst="rect">
                      <a:avLst/>
                    </a:prstGeom>
                    <a:noFill/>
                    <a:ln>
                      <a:noFill/>
                    </a:ln>
                  </pic:spPr>
                </pic:pic>
              </a:graphicData>
            </a:graphic>
          </wp:inline>
        </w:drawing>
      </w:r>
    </w:p>
    <w:p w14:paraId="0FC6A6FF" w14:textId="77777777" w:rsidR="00C06DEE" w:rsidRDefault="00C06DEE" w:rsidP="00C06DEE">
      <w:pPr>
        <w:ind w:firstLine="1276"/>
      </w:pPr>
    </w:p>
    <w:p w14:paraId="53012B86" w14:textId="0CCED5D0" w:rsidR="00C06DEE" w:rsidRDefault="004E7D19" w:rsidP="00C06DEE">
      <w:pPr>
        <w:rPr>
          <w:rFonts w:ascii="Arial" w:hAnsi="Arial" w:cs="Arial"/>
          <w:sz w:val="22"/>
          <w:szCs w:val="22"/>
        </w:rPr>
      </w:pPr>
      <w:r>
        <w:rPr>
          <w:rFonts w:ascii="Arial" w:hAnsi="Arial" w:cs="Arial"/>
          <w:sz w:val="22"/>
          <w:szCs w:val="22"/>
        </w:rPr>
        <w:t xml:space="preserve">Figure 2 </w:t>
      </w:r>
      <w:proofErr w:type="gramStart"/>
      <w:r>
        <w:rPr>
          <w:rFonts w:ascii="Arial" w:hAnsi="Arial" w:cs="Arial"/>
          <w:sz w:val="22"/>
          <w:szCs w:val="22"/>
        </w:rPr>
        <w:t>Supplement</w:t>
      </w:r>
      <w:proofErr w:type="gramEnd"/>
      <w:r>
        <w:rPr>
          <w:rFonts w:ascii="Arial" w:hAnsi="Arial" w:cs="Arial"/>
          <w:sz w:val="22"/>
          <w:szCs w:val="22"/>
        </w:rPr>
        <w:t xml:space="preserve"> 1</w:t>
      </w:r>
    </w:p>
    <w:p w14:paraId="6EEF97EE" w14:textId="77777777" w:rsidR="00C06DEE" w:rsidRPr="00FD2942" w:rsidRDefault="00C06DEE" w:rsidP="00C06DEE">
      <w:pPr>
        <w:rPr>
          <w:rFonts w:ascii="Arial" w:hAnsi="Arial" w:cs="Arial"/>
          <w:sz w:val="22"/>
          <w:szCs w:val="22"/>
        </w:rPr>
      </w:pPr>
    </w:p>
    <w:p w14:paraId="37A98CDE" w14:textId="77777777" w:rsidR="00671806" w:rsidRPr="00CF34AF" w:rsidRDefault="00671806" w:rsidP="00671806">
      <w:pPr>
        <w:rPr>
          <w:rFonts w:ascii="Arial" w:hAnsi="Arial" w:cs="Arial"/>
          <w:sz w:val="22"/>
          <w:szCs w:val="22"/>
        </w:rPr>
      </w:pPr>
      <w:proofErr w:type="gramStart"/>
      <w:r w:rsidRPr="00CF34AF">
        <w:rPr>
          <w:rFonts w:ascii="Arial" w:hAnsi="Arial" w:cs="Arial"/>
          <w:sz w:val="22"/>
          <w:szCs w:val="22"/>
        </w:rPr>
        <w:t>a</w:t>
      </w:r>
      <w:proofErr w:type="gramEnd"/>
      <w:r w:rsidRPr="00CF34AF">
        <w:rPr>
          <w:rFonts w:ascii="Arial" w:hAnsi="Arial" w:cs="Arial"/>
          <w:sz w:val="22"/>
          <w:szCs w:val="22"/>
        </w:rPr>
        <w:t xml:space="preserve">, b. Coronal section through the OB of an adult Nestin-Cre-ERT2/Rosa-RFP mouse 6 weeks after tamoxifen injection at 2 months of age stained for the OB neuron subtype markers TH and Calretinin. </w:t>
      </w:r>
    </w:p>
    <w:p w14:paraId="7E8DF863" w14:textId="77777777" w:rsidR="00671806" w:rsidRPr="00CF34AF" w:rsidRDefault="00671806" w:rsidP="00671806">
      <w:pPr>
        <w:rPr>
          <w:rFonts w:ascii="Arial" w:hAnsi="Arial" w:cs="Arial"/>
          <w:sz w:val="22"/>
          <w:szCs w:val="22"/>
        </w:rPr>
      </w:pPr>
      <w:proofErr w:type="gramStart"/>
      <w:r w:rsidRPr="00CF34AF">
        <w:rPr>
          <w:rFonts w:ascii="Arial" w:hAnsi="Arial" w:cs="Arial"/>
          <w:sz w:val="22"/>
          <w:szCs w:val="22"/>
        </w:rPr>
        <w:t>c</w:t>
      </w:r>
      <w:proofErr w:type="gramEnd"/>
      <w:r w:rsidRPr="00CF34AF">
        <w:rPr>
          <w:rFonts w:ascii="Arial" w:hAnsi="Arial" w:cs="Arial"/>
          <w:sz w:val="22"/>
          <w:szCs w:val="22"/>
        </w:rPr>
        <w:t xml:space="preserve">, d. Seven days post induction (dpi) large amounts of OB neurons in the OB express the immature neuronal marker doublecortin (dcx).  At 14 dpi individual cells in the GCL still express dcx.  Scale bar: 300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a, 30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c, 10 </w:t>
      </w:r>
      <w:r w:rsidRPr="00CF34AF">
        <w:rPr>
          <w:rFonts w:ascii="Arial" w:hAnsi="Arial" w:cs="Arial" w:hint="eastAsia"/>
          <w:sz w:val="22"/>
          <w:szCs w:val="22"/>
        </w:rPr>
        <w:t>μ</w:t>
      </w:r>
      <w:r w:rsidRPr="00CF34AF">
        <w:rPr>
          <w:rFonts w:ascii="Arial" w:hAnsi="Arial" w:cs="Arial" w:hint="eastAsia"/>
          <w:sz w:val="22"/>
          <w:szCs w:val="22"/>
        </w:rPr>
        <w:t>m</w:t>
      </w:r>
      <w:r w:rsidRPr="00CF34AF">
        <w:rPr>
          <w:rFonts w:ascii="Arial" w:hAnsi="Arial" w:cs="Arial"/>
          <w:sz w:val="22"/>
          <w:szCs w:val="22"/>
        </w:rPr>
        <w:t xml:space="preserve"> in d.</w:t>
      </w:r>
    </w:p>
    <w:p w14:paraId="527C5354" w14:textId="77777777" w:rsidR="001A2B43" w:rsidRDefault="001A2B43" w:rsidP="00C06DEE">
      <w:pPr>
        <w:rPr>
          <w:rFonts w:ascii="Arial" w:hAnsi="Arial" w:cs="Arial"/>
          <w:sz w:val="22"/>
          <w:szCs w:val="22"/>
        </w:rPr>
      </w:pPr>
    </w:p>
    <w:p w14:paraId="13950892" w14:textId="77777777" w:rsidR="00933C05" w:rsidRDefault="00933C05" w:rsidP="00C06DEE">
      <w:pPr>
        <w:rPr>
          <w:rFonts w:ascii="Arial" w:hAnsi="Arial" w:cs="Arial"/>
          <w:sz w:val="22"/>
          <w:szCs w:val="22"/>
        </w:rPr>
      </w:pPr>
    </w:p>
    <w:p w14:paraId="57767399" w14:textId="77777777" w:rsidR="00933C05" w:rsidRDefault="00933C05" w:rsidP="00C06DEE">
      <w:pPr>
        <w:rPr>
          <w:rFonts w:ascii="Arial" w:hAnsi="Arial" w:cs="Arial"/>
          <w:sz w:val="22"/>
          <w:szCs w:val="22"/>
        </w:rPr>
      </w:pPr>
    </w:p>
    <w:p w14:paraId="763D9503" w14:textId="77777777" w:rsidR="00933C05" w:rsidRDefault="00933C05" w:rsidP="00C06DEE">
      <w:pPr>
        <w:rPr>
          <w:rFonts w:ascii="Arial" w:hAnsi="Arial" w:cs="Arial"/>
          <w:sz w:val="22"/>
          <w:szCs w:val="22"/>
        </w:rPr>
      </w:pPr>
    </w:p>
    <w:p w14:paraId="338A8B87" w14:textId="77777777" w:rsidR="00933C05" w:rsidRDefault="00933C05" w:rsidP="00C06DEE">
      <w:pPr>
        <w:rPr>
          <w:rFonts w:ascii="Arial" w:hAnsi="Arial" w:cs="Arial"/>
          <w:sz w:val="22"/>
          <w:szCs w:val="22"/>
        </w:rPr>
      </w:pPr>
    </w:p>
    <w:p w14:paraId="65178232" w14:textId="77777777" w:rsidR="00933C05" w:rsidRDefault="00933C05" w:rsidP="00C06DEE">
      <w:pPr>
        <w:rPr>
          <w:rFonts w:ascii="Arial" w:hAnsi="Arial" w:cs="Arial"/>
          <w:sz w:val="22"/>
          <w:szCs w:val="22"/>
        </w:rPr>
      </w:pPr>
    </w:p>
    <w:p w14:paraId="51EAB54B" w14:textId="77777777" w:rsidR="00933C05" w:rsidRDefault="00933C05" w:rsidP="00C06DEE">
      <w:pPr>
        <w:rPr>
          <w:rFonts w:ascii="Arial" w:hAnsi="Arial" w:cs="Arial"/>
          <w:sz w:val="22"/>
          <w:szCs w:val="22"/>
        </w:rPr>
      </w:pPr>
    </w:p>
    <w:p w14:paraId="3439E520" w14:textId="77777777" w:rsidR="00933C05" w:rsidRDefault="00933C05" w:rsidP="00C06DEE">
      <w:pPr>
        <w:rPr>
          <w:rFonts w:ascii="Arial" w:hAnsi="Arial" w:cs="Arial"/>
          <w:sz w:val="22"/>
          <w:szCs w:val="22"/>
        </w:rPr>
      </w:pPr>
    </w:p>
    <w:p w14:paraId="2C17BF2A" w14:textId="77777777" w:rsidR="00933C05" w:rsidRDefault="00933C05" w:rsidP="00C06DEE">
      <w:pPr>
        <w:rPr>
          <w:rFonts w:ascii="Arial" w:hAnsi="Arial" w:cs="Arial"/>
          <w:sz w:val="22"/>
          <w:szCs w:val="22"/>
        </w:rPr>
      </w:pPr>
    </w:p>
    <w:p w14:paraId="260D6D20" w14:textId="77777777" w:rsidR="00933C05" w:rsidRDefault="00933C05" w:rsidP="00C06DEE">
      <w:pPr>
        <w:rPr>
          <w:rFonts w:ascii="Arial" w:hAnsi="Arial" w:cs="Arial"/>
          <w:sz w:val="22"/>
          <w:szCs w:val="22"/>
        </w:rPr>
      </w:pPr>
    </w:p>
    <w:p w14:paraId="6C20274F" w14:textId="77777777" w:rsidR="00933C05" w:rsidRDefault="00933C05" w:rsidP="00C06DEE">
      <w:pPr>
        <w:rPr>
          <w:rFonts w:ascii="Arial" w:hAnsi="Arial" w:cs="Arial"/>
          <w:sz w:val="22"/>
          <w:szCs w:val="22"/>
        </w:rPr>
      </w:pPr>
    </w:p>
    <w:p w14:paraId="2890F4DE" w14:textId="77777777" w:rsidR="00933C05" w:rsidRDefault="00933C05" w:rsidP="00C06DEE">
      <w:pPr>
        <w:rPr>
          <w:rFonts w:ascii="Arial" w:hAnsi="Arial" w:cs="Arial"/>
          <w:sz w:val="22"/>
          <w:szCs w:val="22"/>
        </w:rPr>
      </w:pPr>
    </w:p>
    <w:p w14:paraId="5C0EA32B" w14:textId="77777777" w:rsidR="00933C05" w:rsidRDefault="00933C05" w:rsidP="00C06DEE">
      <w:pPr>
        <w:rPr>
          <w:rFonts w:ascii="Arial" w:hAnsi="Arial" w:cs="Arial"/>
          <w:sz w:val="22"/>
          <w:szCs w:val="22"/>
        </w:rPr>
      </w:pPr>
    </w:p>
    <w:p w14:paraId="5D1797BE" w14:textId="789116E6" w:rsidR="001A2B43" w:rsidRDefault="0075793D" w:rsidP="001A2B43">
      <w:pPr>
        <w:rPr>
          <w:rFonts w:ascii="Arial" w:hAnsi="Arial" w:cs="Arial"/>
          <w:sz w:val="22"/>
          <w:szCs w:val="22"/>
        </w:rPr>
      </w:pPr>
      <w:r>
        <w:rPr>
          <w:rFonts w:ascii="Arial" w:hAnsi="Arial" w:cs="Arial"/>
          <w:noProof/>
          <w:sz w:val="22"/>
          <w:szCs w:val="22"/>
          <w:lang w:val="fr-FR"/>
        </w:rPr>
        <w:drawing>
          <wp:inline distT="0" distB="0" distL="0" distR="0" wp14:anchorId="54619822" wp14:editId="6FB7C86E">
            <wp:extent cx="4203065" cy="1533525"/>
            <wp:effectExtent l="0" t="0" r="0" b="0"/>
            <wp:docPr id="11" name="Image 11" descr="Macintosh HD:Users:platel:Desktop:Platel NN March 2018:final:Platel_NN_October2018:ext fig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latel:Desktop:Platel NN March 2018:final:Platel_NN_October2018:ext fig6.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03065" cy="1533525"/>
                    </a:xfrm>
                    <a:prstGeom prst="rect">
                      <a:avLst/>
                    </a:prstGeom>
                    <a:noFill/>
                    <a:ln>
                      <a:noFill/>
                    </a:ln>
                  </pic:spPr>
                </pic:pic>
              </a:graphicData>
            </a:graphic>
          </wp:inline>
        </w:drawing>
      </w:r>
    </w:p>
    <w:p w14:paraId="6D254A42" w14:textId="77777777" w:rsidR="001A2B43" w:rsidRDefault="001A2B43" w:rsidP="001A2B43">
      <w:pPr>
        <w:rPr>
          <w:rFonts w:ascii="Arial" w:hAnsi="Arial" w:cs="Arial"/>
          <w:sz w:val="22"/>
          <w:szCs w:val="22"/>
        </w:rPr>
      </w:pPr>
    </w:p>
    <w:p w14:paraId="4A9EB7F1" w14:textId="77777777" w:rsidR="001A2B43" w:rsidRDefault="001A2B43" w:rsidP="001A2B43">
      <w:pPr>
        <w:rPr>
          <w:rFonts w:ascii="Arial" w:hAnsi="Arial" w:cs="Arial"/>
          <w:sz w:val="22"/>
          <w:szCs w:val="22"/>
        </w:rPr>
      </w:pPr>
    </w:p>
    <w:p w14:paraId="46037D08" w14:textId="09535858" w:rsidR="001A2B43" w:rsidRDefault="004E7D19" w:rsidP="001A2B43">
      <w:pPr>
        <w:rPr>
          <w:rFonts w:ascii="Arial" w:hAnsi="Arial" w:cs="Arial"/>
          <w:sz w:val="22"/>
          <w:szCs w:val="22"/>
        </w:rPr>
      </w:pPr>
      <w:r>
        <w:rPr>
          <w:rFonts w:ascii="Arial" w:hAnsi="Arial" w:cs="Arial"/>
          <w:sz w:val="22"/>
          <w:szCs w:val="22"/>
        </w:rPr>
        <w:t xml:space="preserve">Figure7 Supplement </w:t>
      </w:r>
      <w:r w:rsidR="00671806">
        <w:rPr>
          <w:rFonts w:ascii="Arial" w:hAnsi="Arial" w:cs="Arial"/>
          <w:sz w:val="22"/>
          <w:szCs w:val="22"/>
        </w:rPr>
        <w:t>1</w:t>
      </w:r>
    </w:p>
    <w:p w14:paraId="3B7E9909" w14:textId="77777777" w:rsidR="00671806" w:rsidRDefault="00671806" w:rsidP="001A2B43">
      <w:pPr>
        <w:rPr>
          <w:rFonts w:ascii="Arial" w:hAnsi="Arial" w:cs="Arial"/>
          <w:sz w:val="22"/>
          <w:szCs w:val="22"/>
        </w:rPr>
      </w:pPr>
      <w:bookmarkStart w:id="0" w:name="_GoBack"/>
      <w:bookmarkEnd w:id="0"/>
    </w:p>
    <w:p w14:paraId="665FD83E" w14:textId="77777777" w:rsidR="00671806" w:rsidRPr="00CF34AF" w:rsidRDefault="00671806" w:rsidP="00671806">
      <w:pPr>
        <w:spacing w:line="360" w:lineRule="auto"/>
        <w:jc w:val="both"/>
        <w:rPr>
          <w:rFonts w:ascii="Arial" w:hAnsi="Arial" w:cs="Arial"/>
          <w:sz w:val="22"/>
          <w:szCs w:val="22"/>
        </w:rPr>
      </w:pPr>
      <w:r w:rsidRPr="00CF34AF">
        <w:rPr>
          <w:rFonts w:ascii="Arial" w:hAnsi="Arial" w:cs="Arial"/>
          <w:b/>
          <w:sz w:val="22"/>
          <w:szCs w:val="22"/>
        </w:rPr>
        <w:t>a.</w:t>
      </w:r>
      <w:r w:rsidRPr="00CF34AF">
        <w:rPr>
          <w:rFonts w:ascii="Arial" w:hAnsi="Arial" w:cs="Arial"/>
          <w:sz w:val="22"/>
          <w:szCs w:val="22"/>
        </w:rPr>
        <w:t xml:space="preserve"> Repartition of OB layers (GL, EPL, GCL) with increasing age. Although the volume of all layers increases with time their ratio remains constant.</w:t>
      </w:r>
    </w:p>
    <w:p w14:paraId="05F7BE89" w14:textId="77777777" w:rsidR="00671806" w:rsidRPr="00CF34AF" w:rsidRDefault="00671806" w:rsidP="00671806">
      <w:pPr>
        <w:spacing w:line="360" w:lineRule="auto"/>
        <w:jc w:val="both"/>
        <w:rPr>
          <w:rFonts w:ascii="Arial" w:hAnsi="Arial" w:cs="Arial"/>
          <w:sz w:val="22"/>
          <w:szCs w:val="22"/>
        </w:rPr>
      </w:pPr>
      <w:r w:rsidRPr="00CF34AF">
        <w:rPr>
          <w:rFonts w:ascii="Arial" w:hAnsi="Arial" w:cs="Arial"/>
          <w:b/>
          <w:sz w:val="22"/>
          <w:szCs w:val="22"/>
        </w:rPr>
        <w:t>b.</w:t>
      </w:r>
      <w:r w:rsidRPr="00CF34AF">
        <w:rPr>
          <w:rFonts w:ascii="Arial" w:hAnsi="Arial" w:cs="Arial"/>
          <w:sz w:val="22"/>
          <w:szCs w:val="22"/>
        </w:rPr>
        <w:t xml:space="preserve"> Coronal section through the OB of a </w:t>
      </w:r>
      <w:proofErr w:type="gramStart"/>
      <w:r w:rsidRPr="00CF34AF">
        <w:rPr>
          <w:rFonts w:ascii="Arial" w:hAnsi="Arial" w:cs="Arial"/>
          <w:sz w:val="22"/>
          <w:szCs w:val="22"/>
        </w:rPr>
        <w:t>6 month old</w:t>
      </w:r>
      <w:proofErr w:type="gramEnd"/>
      <w:r w:rsidRPr="00CF34AF">
        <w:rPr>
          <w:rFonts w:ascii="Arial" w:hAnsi="Arial" w:cs="Arial"/>
          <w:sz w:val="22"/>
          <w:szCs w:val="22"/>
        </w:rPr>
        <w:t xml:space="preserve"> C57Bl6 stained for the astrocytic marker S100b, the microglial marker iba1 and the nucleus with DAPI. </w:t>
      </w:r>
    </w:p>
    <w:p w14:paraId="0C55327D" w14:textId="77777777" w:rsidR="00671806" w:rsidRPr="00CF34AF" w:rsidRDefault="00671806" w:rsidP="00671806">
      <w:pPr>
        <w:spacing w:line="360" w:lineRule="auto"/>
        <w:jc w:val="both"/>
        <w:rPr>
          <w:rFonts w:ascii="Arial" w:hAnsi="Arial" w:cs="Arial"/>
          <w:sz w:val="22"/>
          <w:szCs w:val="22"/>
        </w:rPr>
      </w:pPr>
      <w:r w:rsidRPr="00CF34AF">
        <w:rPr>
          <w:rFonts w:ascii="Arial" w:hAnsi="Arial" w:cs="Arial"/>
          <w:b/>
          <w:sz w:val="22"/>
          <w:szCs w:val="22"/>
        </w:rPr>
        <w:t>c.</w:t>
      </w:r>
      <w:r w:rsidRPr="00CF34AF">
        <w:rPr>
          <w:rFonts w:ascii="Arial" w:hAnsi="Arial" w:cs="Arial" w:hint="eastAsia"/>
          <w:sz w:val="22"/>
          <w:szCs w:val="22"/>
        </w:rPr>
        <w:t xml:space="preserve"> Quantification of astrocytic and microglial density between 2 and 6 months. Astrocyte density is significantly decreased (p=0,006) while microglia density is constant. Scale bar: 200 </w:t>
      </w:r>
      <w:r w:rsidRPr="00CF34AF">
        <w:rPr>
          <w:rFonts w:ascii="Arial" w:hAnsi="Arial" w:cs="Arial" w:hint="eastAsia"/>
          <w:sz w:val="22"/>
          <w:szCs w:val="22"/>
        </w:rPr>
        <w:t>μ</w:t>
      </w:r>
      <w:r w:rsidRPr="00CF34AF">
        <w:rPr>
          <w:rFonts w:ascii="Arial" w:hAnsi="Arial" w:cs="Arial" w:hint="eastAsia"/>
          <w:sz w:val="22"/>
          <w:szCs w:val="22"/>
        </w:rPr>
        <w:t>m in b</w:t>
      </w:r>
    </w:p>
    <w:p w14:paraId="495AFBBB" w14:textId="77777777" w:rsidR="00C06DEE" w:rsidRDefault="00C06DEE" w:rsidP="00C06DEE"/>
    <w:sectPr w:rsidR="00C06DEE" w:rsidSect="007A2E9A">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grammar="clean"/>
  <w:defaultTabStop w:val="708"/>
  <w:hyphenationZone w:val="425"/>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6DEE"/>
    <w:rsid w:val="001A2B43"/>
    <w:rsid w:val="002E445A"/>
    <w:rsid w:val="004363F5"/>
    <w:rsid w:val="004E7D19"/>
    <w:rsid w:val="00671806"/>
    <w:rsid w:val="00741368"/>
    <w:rsid w:val="0075793D"/>
    <w:rsid w:val="007A2E9A"/>
    <w:rsid w:val="008401FC"/>
    <w:rsid w:val="00863F60"/>
    <w:rsid w:val="008D534E"/>
    <w:rsid w:val="008F40A1"/>
    <w:rsid w:val="00933C05"/>
    <w:rsid w:val="00C06DEE"/>
    <w:rsid w:val="00C16411"/>
    <w:rsid w:val="00CE4D0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04E616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6DEE"/>
    <w:rPr>
      <w:rFonts w:ascii="Cambria" w:eastAsia="ＭＳ 明朝" w:hAnsi="Cambria" w:cs="Times New Roman"/>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ndNoteBibliography">
    <w:name w:val="EndNote Bibliography"/>
    <w:basedOn w:val="Normal"/>
    <w:rsid w:val="00C06DEE"/>
    <w:rPr>
      <w:lang w:val="fr-FR"/>
    </w:rPr>
  </w:style>
  <w:style w:type="paragraph" w:styleId="Textedebulles">
    <w:name w:val="Balloon Text"/>
    <w:basedOn w:val="Normal"/>
    <w:link w:val="TextedebullesCar"/>
    <w:uiPriority w:val="99"/>
    <w:semiHidden/>
    <w:unhideWhenUsed/>
    <w:rsid w:val="00C06DEE"/>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06DEE"/>
    <w:rPr>
      <w:rFonts w:ascii="Lucida Grande" w:eastAsia="ＭＳ 明朝" w:hAnsi="Lucida Grande" w:cs="Lucida Grande"/>
      <w:sz w:val="18"/>
      <w:szCs w:val="18"/>
      <w:lang w:val="en-US"/>
    </w:rPr>
  </w:style>
  <w:style w:type="paragraph" w:styleId="Paragraphedeliste">
    <w:name w:val="List Paragraph"/>
    <w:basedOn w:val="Normal"/>
    <w:uiPriority w:val="34"/>
    <w:qFormat/>
    <w:rsid w:val="001A2B43"/>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6DEE"/>
    <w:rPr>
      <w:rFonts w:ascii="Cambria" w:eastAsia="ＭＳ 明朝" w:hAnsi="Cambria" w:cs="Times New Roman"/>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ndNoteBibliography">
    <w:name w:val="EndNote Bibliography"/>
    <w:basedOn w:val="Normal"/>
    <w:rsid w:val="00C06DEE"/>
    <w:rPr>
      <w:lang w:val="fr-FR"/>
    </w:rPr>
  </w:style>
  <w:style w:type="paragraph" w:styleId="Textedebulles">
    <w:name w:val="Balloon Text"/>
    <w:basedOn w:val="Normal"/>
    <w:link w:val="TextedebullesCar"/>
    <w:uiPriority w:val="99"/>
    <w:semiHidden/>
    <w:unhideWhenUsed/>
    <w:rsid w:val="00C06DEE"/>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06DEE"/>
    <w:rPr>
      <w:rFonts w:ascii="Lucida Grande" w:eastAsia="ＭＳ 明朝" w:hAnsi="Lucida Grande" w:cs="Lucida Grande"/>
      <w:sz w:val="18"/>
      <w:szCs w:val="18"/>
      <w:lang w:val="en-US"/>
    </w:rPr>
  </w:style>
  <w:style w:type="paragraph" w:styleId="Paragraphedeliste">
    <w:name w:val="List Paragraph"/>
    <w:basedOn w:val="Normal"/>
    <w:uiPriority w:val="34"/>
    <w:qFormat/>
    <w:rsid w:val="001A2B4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325</Words>
  <Characters>1790</Characters>
  <Application>Microsoft Macintosh Word</Application>
  <DocSecurity>0</DocSecurity>
  <Lines>14</Lines>
  <Paragraphs>4</Paragraphs>
  <ScaleCrop>false</ScaleCrop>
  <Company/>
  <LinksUpToDate>false</LinksUpToDate>
  <CharactersWithSpaces>2111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Jean-Claude Platel</dc:creator>
  <cp:keywords/>
  <dc:description/>
  <cp:lastModifiedBy>Jean-Claude Platel</cp:lastModifiedBy>
  <cp:revision>4</cp:revision>
  <dcterms:created xsi:type="dcterms:W3CDTF">2019-01-04T14:19:00Z</dcterms:created>
  <dcterms:modified xsi:type="dcterms:W3CDTF">2019-06-25T14:58:00Z</dcterms:modified>
</cp:coreProperties>
</file>