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BD" w:rsidRPr="00702344" w:rsidRDefault="00120EBD" w:rsidP="00120EBD">
      <w:pPr>
        <w:pStyle w:val="Titre2"/>
        <w:ind w:left="0" w:firstLine="0"/>
        <w:rPr>
          <w:color w:val="auto"/>
        </w:rPr>
      </w:pPr>
      <w:r w:rsidRPr="00702344">
        <w:rPr>
          <w:color w:val="auto"/>
        </w:rPr>
        <w:t xml:space="preserve">Table S1. MT-related genes identified in a genome-wide screen for regulators of AMP gene expression from </w:t>
      </w:r>
      <w:r>
        <w:rPr>
          <w:b w:val="0"/>
          <w:color w:val="auto"/>
          <w:sz w:val="22"/>
          <w:szCs w:val="22"/>
        </w:rPr>
        <w:fldChar w:fldCharType="begin">
          <w:fldData xml:space="preserve">PEVuZE5vdGU+PENpdGU+PEF1dGhvcj5adWdhc3RpPC9BdXRob3I+PFllYXI+MjAxNjwvWWVhcj48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</w:fldData>
        </w:fldChar>
      </w:r>
      <w:r>
        <w:rPr>
          <w:b w:val="0"/>
          <w:color w:val="auto"/>
          <w:sz w:val="22"/>
          <w:szCs w:val="22"/>
        </w:rPr>
        <w:instrText xml:space="preserve"> ADDIN EN.CITE </w:instrText>
      </w:r>
      <w:r>
        <w:rPr>
          <w:b w:val="0"/>
          <w:color w:val="auto"/>
          <w:sz w:val="22"/>
          <w:szCs w:val="22"/>
        </w:rPr>
        <w:fldChar w:fldCharType="begin">
          <w:fldData xml:space="preserve">PEVuZE5vdGU+PENpdGU+PEF1dGhvcj5adWdhc3RpPC9BdXRob3I+PFllYXI+MjAxNjwvWWVhcj48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</w:fldData>
        </w:fldChar>
      </w:r>
      <w:r>
        <w:rPr>
          <w:b w:val="0"/>
          <w:color w:val="auto"/>
          <w:sz w:val="22"/>
          <w:szCs w:val="22"/>
        </w:rPr>
        <w:instrText xml:space="preserve"> ADDIN EN.CITE.DATA </w:instrText>
      </w:r>
      <w:r>
        <w:rPr>
          <w:b w:val="0"/>
          <w:color w:val="auto"/>
          <w:sz w:val="22"/>
          <w:szCs w:val="22"/>
        </w:rPr>
      </w:r>
      <w:r>
        <w:rPr>
          <w:b w:val="0"/>
          <w:color w:val="auto"/>
          <w:sz w:val="22"/>
          <w:szCs w:val="22"/>
        </w:rPr>
        <w:fldChar w:fldCharType="end"/>
      </w:r>
      <w:r>
        <w:rPr>
          <w:b w:val="0"/>
          <w:color w:val="auto"/>
          <w:sz w:val="22"/>
          <w:szCs w:val="22"/>
        </w:rPr>
      </w:r>
      <w:r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(Zugasti et al., 2016)</w:t>
      </w:r>
      <w:r>
        <w:rPr>
          <w:b w:val="0"/>
          <w:color w:val="auto"/>
          <w:sz w:val="22"/>
          <w:szCs w:val="22"/>
        </w:rPr>
        <w:fldChar w:fldCharType="end"/>
      </w:r>
      <w:r w:rsidRPr="00702344">
        <w:rPr>
          <w:b w:val="0"/>
          <w:color w:val="auto"/>
          <w:sz w:val="22"/>
          <w:szCs w:val="22"/>
        </w:rPr>
        <w:t>.</w:t>
      </w:r>
    </w:p>
    <w:p w:rsidR="00120EBD" w:rsidRPr="00702344" w:rsidRDefault="00120EBD" w:rsidP="00120EBD">
      <w:pPr>
        <w:spacing w:line="360" w:lineRule="auto"/>
      </w:pPr>
    </w:p>
    <w:tbl>
      <w:tblPr>
        <w:tblStyle w:val="2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9"/>
        <w:gridCol w:w="2409"/>
        <w:gridCol w:w="2410"/>
        <w:gridCol w:w="2410"/>
      </w:tblGrid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b/>
              </w:rPr>
            </w:pPr>
            <w:proofErr w:type="spellStart"/>
            <w:r w:rsidRPr="00702344">
              <w:rPr>
                <w:b/>
              </w:rPr>
              <w:t>WormBase</w:t>
            </w:r>
            <w:proofErr w:type="spellEnd"/>
            <w:r w:rsidRPr="00702344">
              <w:rPr>
                <w:b/>
              </w:rPr>
              <w:t xml:space="preserve"> Gene ID (WS266)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b/>
              </w:rPr>
            </w:pPr>
            <w:r w:rsidRPr="00702344">
              <w:rPr>
                <w:b/>
              </w:rPr>
              <w:t>Public Name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b/>
              </w:rPr>
            </w:pPr>
            <w:r w:rsidRPr="00702344">
              <w:rPr>
                <w:b/>
              </w:rPr>
              <w:t>Sequence Name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b/>
              </w:rPr>
            </w:pPr>
            <w:r w:rsidRPr="00702344">
              <w:rPr>
                <w:b/>
              </w:rPr>
              <w:t>Description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WBGene00000962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dhc-1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T21E12.4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dynein heavy chain homolog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WBGene00001017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dnc-1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ZK593.5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dynactin complex subunit p150 homolog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WBGene00001832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hcp-4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T03F1.9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centromere protein (CENP)-C homolog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WBGene00002231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knl-1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C02F5.1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essential kinetochore component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WBGene00002845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let-711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F57B9.2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NOT1 orthologue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WBGene00004274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rab-11.1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F53G12.1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 xml:space="preserve">small </w:t>
            </w:r>
            <w:proofErr w:type="spellStart"/>
            <w:r w:rsidRPr="00702344">
              <w:t>GTPase</w:t>
            </w:r>
            <w:proofErr w:type="spellEnd"/>
            <w:r w:rsidRPr="00702344">
              <w:t xml:space="preserve"> homologous to the </w:t>
            </w:r>
            <w:proofErr w:type="spellStart"/>
            <w:r w:rsidRPr="00702344">
              <w:t>Rab</w:t>
            </w:r>
            <w:proofErr w:type="spellEnd"/>
            <w:r w:rsidRPr="00702344">
              <w:t xml:space="preserve"> </w:t>
            </w:r>
            <w:proofErr w:type="spellStart"/>
            <w:r w:rsidRPr="00702344">
              <w:t>GTPases</w:t>
            </w:r>
            <w:proofErr w:type="spellEnd"/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WBGene00010556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rack-1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K04D7.1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orthologue of vertebrate Receptor for Activated C Kinase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WBGene00006529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tba-2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C47B2.3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alpha-tubulin</w:t>
            </w:r>
          </w:p>
        </w:tc>
      </w:tr>
      <w:tr w:rsidR="00120EBD" w:rsidRPr="00702344" w:rsidTr="000D62C8"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WBGene00006530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  <w:rPr>
                <w:i/>
              </w:rPr>
            </w:pPr>
            <w:r w:rsidRPr="00702344">
              <w:rPr>
                <w:i/>
              </w:rPr>
              <w:t>tba-4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F44F4.11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BD" w:rsidRPr="00702344" w:rsidRDefault="00120EBD" w:rsidP="000D62C8">
            <w:pPr>
              <w:widowControl w:val="0"/>
              <w:spacing w:after="0" w:line="360" w:lineRule="auto"/>
            </w:pPr>
            <w:r w:rsidRPr="00702344">
              <w:t>alpha tubulin</w:t>
            </w:r>
          </w:p>
        </w:tc>
      </w:tr>
    </w:tbl>
    <w:p w:rsidR="00F10FE4" w:rsidRDefault="00F10FE4" w:rsidP="00120EBD">
      <w:pPr>
        <w:pStyle w:val="Titre2"/>
        <w:ind w:left="0" w:firstLine="0"/>
        <w:rPr>
          <w:color w:val="auto"/>
        </w:rPr>
      </w:pPr>
      <w:bookmarkStart w:id="0" w:name="_ro75veu4c2od" w:colFirst="0" w:colLast="0"/>
      <w:bookmarkStart w:id="1" w:name="_q5zzvulq8f5r" w:colFirst="0" w:colLast="0"/>
      <w:bookmarkStart w:id="2" w:name="_GoBack"/>
      <w:bookmarkEnd w:id="0"/>
      <w:bookmarkEnd w:id="1"/>
      <w:bookmarkEnd w:id="2"/>
    </w:p>
    <w:p w:rsidR="00F10FE4" w:rsidRPr="00F10FE4" w:rsidRDefault="00F10FE4" w:rsidP="00F10FE4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10FE4">
        <w:t xml:space="preserve">Zugasti, O., Thakur, N., Belougne, J., Squiban, B., Kurz, C.L., Soule, J., Omi, S., Tichit, L., Pujol, N., and Ewbank, J.J. (2016). A quantitative genome-wide RNAi screen in </w:t>
      </w:r>
      <w:r w:rsidRPr="00F10FE4">
        <w:rPr>
          <w:i/>
        </w:rPr>
        <w:t>C. elegans</w:t>
      </w:r>
      <w:r w:rsidRPr="00F10FE4">
        <w:t xml:space="preserve"> for antifungal innate immunity genes. BMC Biol</w:t>
      </w:r>
      <w:r w:rsidRPr="00F10FE4">
        <w:rPr>
          <w:i/>
        </w:rPr>
        <w:t xml:space="preserve"> 14</w:t>
      </w:r>
      <w:r w:rsidRPr="00F10FE4">
        <w:t>, 35.</w:t>
      </w:r>
    </w:p>
    <w:p w:rsidR="00120EBD" w:rsidRPr="00702344" w:rsidRDefault="00F10FE4" w:rsidP="00120EBD">
      <w:pPr>
        <w:pStyle w:val="Titre2"/>
        <w:ind w:left="0" w:firstLine="0"/>
        <w:rPr>
          <w:color w:val="auto"/>
        </w:rPr>
      </w:pPr>
      <w:r>
        <w:rPr>
          <w:color w:val="auto"/>
        </w:rPr>
        <w:fldChar w:fldCharType="end"/>
      </w:r>
    </w:p>
    <w:sectPr w:rsidR="00120EBD" w:rsidRPr="0070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Ce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sf5z9fr0r997etawtp525mwr9xf9va9xtr&quot;&gt;celegansx7&lt;record-ids&gt;&lt;item&gt;4310&lt;/item&gt;&lt;/record-ids&gt;&lt;/item&gt;&lt;/Libraries&gt;"/>
  </w:docVars>
  <w:rsids>
    <w:rsidRoot w:val="00120EBD"/>
    <w:rsid w:val="00120EBD"/>
    <w:rsid w:val="00BC1B67"/>
    <w:rsid w:val="00F1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1968"/>
  <w15:chartTrackingRefBased/>
  <w15:docId w15:val="{C3DD6EA5-9FB9-4239-8E7D-337E4DB0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EBD"/>
    <w:pPr>
      <w:spacing w:after="200" w:line="276" w:lineRule="auto"/>
    </w:pPr>
    <w:rPr>
      <w:rFonts w:ascii="Calibri" w:eastAsia="Calibri" w:hAnsi="Calibri" w:cs="Calibri"/>
      <w:lang w:val="en-GB" w:eastAsia="fr-FR"/>
    </w:rPr>
  </w:style>
  <w:style w:type="paragraph" w:styleId="Titre2">
    <w:name w:val="heading 2"/>
    <w:basedOn w:val="Normal"/>
    <w:next w:val="Normal"/>
    <w:link w:val="Titre2Car"/>
    <w:rsid w:val="00120EB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 w:line="360" w:lineRule="auto"/>
      <w:ind w:left="1428" w:hanging="360"/>
      <w:jc w:val="both"/>
      <w:outlineLvl w:val="1"/>
    </w:pPr>
    <w:rPr>
      <w:b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20EBD"/>
    <w:rPr>
      <w:rFonts w:ascii="Calibri" w:eastAsia="Calibri" w:hAnsi="Calibri" w:cs="Calibri"/>
      <w:b/>
      <w:color w:val="000000"/>
      <w:sz w:val="24"/>
      <w:szCs w:val="24"/>
      <w:lang w:val="en-GB" w:eastAsia="fr-FR"/>
    </w:rPr>
  </w:style>
  <w:style w:type="table" w:customStyle="1" w:styleId="2">
    <w:name w:val="2"/>
    <w:basedOn w:val="TableauNormal"/>
    <w:rsid w:val="00120EBD"/>
    <w:pPr>
      <w:spacing w:after="200" w:line="276" w:lineRule="auto"/>
    </w:pPr>
    <w:rPr>
      <w:rFonts w:ascii="Calibri" w:eastAsia="Calibri" w:hAnsi="Calibri" w:cs="Calibri"/>
      <w:lang w:val="en-GB" w:eastAsia="fr-F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"/>
    <w:rsid w:val="00F10FE4"/>
    <w:pPr>
      <w:spacing w:after="0"/>
      <w:jc w:val="center"/>
    </w:pPr>
    <w:rPr>
      <w:noProof/>
      <w:sz w:val="24"/>
      <w:lang w:val="fr-FR"/>
    </w:rPr>
  </w:style>
  <w:style w:type="character" w:customStyle="1" w:styleId="EndNoteBibliographyTitleCar">
    <w:name w:val="EndNote Bibliography Title Car"/>
    <w:basedOn w:val="Titre2Car"/>
    <w:link w:val="EndNoteBibliographyTitle"/>
    <w:rsid w:val="00F10FE4"/>
    <w:rPr>
      <w:rFonts w:ascii="Calibri" w:eastAsia="Calibri" w:hAnsi="Calibri" w:cs="Calibri"/>
      <w:b w:val="0"/>
      <w:noProof/>
      <w:color w:val="000000"/>
      <w:sz w:val="24"/>
      <w:szCs w:val="24"/>
      <w:lang w:val="en-GB" w:eastAsia="fr-FR"/>
    </w:rPr>
  </w:style>
  <w:style w:type="paragraph" w:customStyle="1" w:styleId="EndNoteBibliography">
    <w:name w:val="EndNote Bibliography"/>
    <w:basedOn w:val="Normal"/>
    <w:link w:val="EndNoteBibliographyCar"/>
    <w:rsid w:val="00F10FE4"/>
    <w:pPr>
      <w:spacing w:line="240" w:lineRule="auto"/>
      <w:jc w:val="both"/>
    </w:pPr>
    <w:rPr>
      <w:noProof/>
      <w:sz w:val="24"/>
      <w:lang w:val="fr-FR"/>
    </w:rPr>
  </w:style>
  <w:style w:type="character" w:customStyle="1" w:styleId="EndNoteBibliographyCar">
    <w:name w:val="EndNote Bibliography Car"/>
    <w:basedOn w:val="Titre2Car"/>
    <w:link w:val="EndNoteBibliography"/>
    <w:rsid w:val="00F10FE4"/>
    <w:rPr>
      <w:rFonts w:ascii="Calibri" w:eastAsia="Calibri" w:hAnsi="Calibri" w:cs="Calibri"/>
      <w:b w:val="0"/>
      <w:noProof/>
      <w:color w:val="000000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PUJOL</dc:creator>
  <cp:keywords/>
  <dc:description/>
  <cp:lastModifiedBy>Nathalie PUJOL</cp:lastModifiedBy>
  <cp:revision>2</cp:revision>
  <dcterms:created xsi:type="dcterms:W3CDTF">2019-12-20T15:58:00Z</dcterms:created>
  <dcterms:modified xsi:type="dcterms:W3CDTF">2019-12-20T15:59:00Z</dcterms:modified>
</cp:coreProperties>
</file>