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9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13"/>
        <w:gridCol w:w="2250"/>
        <w:gridCol w:w="2074"/>
        <w:gridCol w:w="2160"/>
      </w:tblGrid>
      <w:tr w:rsidR="00D60E43" w:rsidRPr="00F57F62" w14:paraId="3A6857DB" w14:textId="77777777" w:rsidTr="00B07635">
        <w:trPr>
          <w:jc w:val="center"/>
        </w:trPr>
        <w:tc>
          <w:tcPr>
            <w:tcW w:w="2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1E3AE" w14:textId="77777777" w:rsidR="00D60E43" w:rsidRPr="00F57F62" w:rsidRDefault="00D60E43" w:rsidP="00B07635">
            <w:pPr>
              <w:widowControl w:val="0"/>
              <w:rPr>
                <w:b/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b/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Author name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8640E" w14:textId="77777777" w:rsidR="00D60E43" w:rsidRPr="00085FBC" w:rsidRDefault="00D60E43" w:rsidP="00B07635">
            <w:pPr>
              <w:widowControl w:val="0"/>
              <w:rPr>
                <w:b/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proofErr w:type="spellStart"/>
            <w:r w:rsidRPr="00085FBC">
              <w:rPr>
                <w:b/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bioRxiv</w:t>
            </w:r>
            <w:proofErr w:type="spellEnd"/>
            <w:r w:rsidRPr="00085FBC">
              <w:rPr>
                <w:b/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 xml:space="preserve"> preprints</w:t>
            </w:r>
          </w:p>
        </w:tc>
        <w:tc>
          <w:tcPr>
            <w:tcW w:w="20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31865" w14:textId="77777777" w:rsidR="00D60E43" w:rsidRPr="00085FBC" w:rsidRDefault="00D60E43" w:rsidP="00B07635">
            <w:pPr>
              <w:widowControl w:val="0"/>
              <w:rPr>
                <w:b/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085FBC">
              <w:rPr>
                <w:b/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Primary field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BB415" w14:textId="77777777" w:rsidR="00D60E43" w:rsidRPr="00085FBC" w:rsidRDefault="00D60E43" w:rsidP="00B07635">
            <w:pPr>
              <w:widowControl w:val="0"/>
              <w:rPr>
                <w:b/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085FBC">
              <w:rPr>
                <w:b/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Email addresses</w:t>
            </w:r>
          </w:p>
        </w:tc>
      </w:tr>
      <w:tr w:rsidR="00D60E43" w:rsidRPr="00F57F62" w14:paraId="56B1A899" w14:textId="77777777" w:rsidTr="00B07635">
        <w:trPr>
          <w:jc w:val="center"/>
        </w:trPr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F384F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George Davey Smith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0210B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97</w:t>
            </w:r>
          </w:p>
        </w:tc>
        <w:tc>
          <w:tcPr>
            <w:tcW w:w="20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05D84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Epidemiology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06579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4</w:t>
            </w:r>
          </w:p>
        </w:tc>
      </w:tr>
      <w:tr w:rsidR="00D60E43" w:rsidRPr="00F57F62" w14:paraId="714E84FE" w14:textId="77777777" w:rsidTr="00B07635">
        <w:trPr>
          <w:jc w:val="center"/>
        </w:trPr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DE705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 xml:space="preserve">Ian J. </w:t>
            </w:r>
            <w:proofErr w:type="spellStart"/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Deary</w:t>
            </w:r>
            <w:proofErr w:type="spellEnd"/>
          </w:p>
        </w:tc>
        <w:tc>
          <w:tcPr>
            <w:tcW w:w="2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4AB2B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61</w:t>
            </w:r>
          </w:p>
        </w:tc>
        <w:tc>
          <w:tcPr>
            <w:tcW w:w="20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7704F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Genetics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C3874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4</w:t>
            </w:r>
          </w:p>
        </w:tc>
      </w:tr>
      <w:tr w:rsidR="00D60E43" w:rsidRPr="00F57F62" w14:paraId="2C5EED42" w14:textId="77777777" w:rsidTr="00B07635">
        <w:trPr>
          <w:jc w:val="center"/>
        </w:trPr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0EFB8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Andrew M. McIntosh</w:t>
            </w:r>
          </w:p>
        </w:tc>
        <w:tc>
          <w:tcPr>
            <w:tcW w:w="2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951F6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57</w:t>
            </w:r>
          </w:p>
        </w:tc>
        <w:tc>
          <w:tcPr>
            <w:tcW w:w="20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A4EC5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Genetics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C8D8A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1</w:t>
            </w:r>
          </w:p>
        </w:tc>
      </w:tr>
      <w:tr w:rsidR="00D60E43" w:rsidRPr="00F57F62" w14:paraId="1A5F9BF9" w14:textId="77777777" w:rsidTr="00B07635">
        <w:trPr>
          <w:jc w:val="center"/>
        </w:trPr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0B5D9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Mark J. Daly</w:t>
            </w:r>
          </w:p>
        </w:tc>
        <w:tc>
          <w:tcPr>
            <w:tcW w:w="2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D1A81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47</w:t>
            </w:r>
          </w:p>
        </w:tc>
        <w:tc>
          <w:tcPr>
            <w:tcW w:w="20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E8414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Genetics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DDC77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3</w:t>
            </w:r>
          </w:p>
        </w:tc>
      </w:tr>
      <w:tr w:rsidR="00D60E43" w:rsidRPr="00F57F62" w14:paraId="5AC6DF8B" w14:textId="77777777" w:rsidTr="00B07635">
        <w:trPr>
          <w:jc w:val="center"/>
        </w:trPr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F51A8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Richard M. Murray</w:t>
            </w:r>
          </w:p>
        </w:tc>
        <w:tc>
          <w:tcPr>
            <w:tcW w:w="2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C8EB2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45</w:t>
            </w:r>
          </w:p>
        </w:tc>
        <w:tc>
          <w:tcPr>
            <w:tcW w:w="20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B1562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Synthetic biology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03ED3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2</w:t>
            </w:r>
          </w:p>
        </w:tc>
      </w:tr>
      <w:tr w:rsidR="00D60E43" w:rsidRPr="00F57F62" w14:paraId="3527072A" w14:textId="77777777" w:rsidTr="00B07635">
        <w:trPr>
          <w:jc w:val="center"/>
        </w:trPr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ACEDC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George M. Church</w:t>
            </w:r>
          </w:p>
        </w:tc>
        <w:tc>
          <w:tcPr>
            <w:tcW w:w="2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E8EF5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43</w:t>
            </w:r>
          </w:p>
        </w:tc>
        <w:tc>
          <w:tcPr>
            <w:tcW w:w="20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F4051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Synthetic biology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3523E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4</w:t>
            </w:r>
          </w:p>
        </w:tc>
      </w:tr>
      <w:tr w:rsidR="00D60E43" w:rsidRPr="00F57F62" w14:paraId="73231DDF" w14:textId="77777777" w:rsidTr="00B07635">
        <w:trPr>
          <w:jc w:val="center"/>
        </w:trPr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AACCD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Wei Wang</w:t>
            </w:r>
          </w:p>
        </w:tc>
        <w:tc>
          <w:tcPr>
            <w:tcW w:w="2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40673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39</w:t>
            </w:r>
          </w:p>
        </w:tc>
        <w:tc>
          <w:tcPr>
            <w:tcW w:w="20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81250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Bioinformatics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36B2A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23</w:t>
            </w:r>
          </w:p>
        </w:tc>
      </w:tr>
      <w:tr w:rsidR="00D60E43" w:rsidRPr="00F57F62" w14:paraId="211E2B8A" w14:textId="77777777" w:rsidTr="00B07635">
        <w:trPr>
          <w:jc w:val="center"/>
        </w:trPr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DD858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Benjamin M. Neale</w:t>
            </w:r>
          </w:p>
        </w:tc>
        <w:tc>
          <w:tcPr>
            <w:tcW w:w="2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163D6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39</w:t>
            </w:r>
          </w:p>
        </w:tc>
        <w:tc>
          <w:tcPr>
            <w:tcW w:w="20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FE79A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Genetics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4D722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2</w:t>
            </w:r>
          </w:p>
        </w:tc>
      </w:tr>
      <w:tr w:rsidR="00D60E43" w:rsidRPr="00F57F62" w14:paraId="09F4007B" w14:textId="77777777" w:rsidTr="00B07635">
        <w:trPr>
          <w:jc w:val="center"/>
        </w:trPr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90E19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proofErr w:type="spellStart"/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Alkes</w:t>
            </w:r>
            <w:proofErr w:type="spellEnd"/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 xml:space="preserve"> L. Price</w:t>
            </w:r>
          </w:p>
        </w:tc>
        <w:tc>
          <w:tcPr>
            <w:tcW w:w="2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E9B11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36</w:t>
            </w:r>
          </w:p>
        </w:tc>
        <w:tc>
          <w:tcPr>
            <w:tcW w:w="20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FA7AD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Genetics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08326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1</w:t>
            </w:r>
          </w:p>
        </w:tc>
      </w:tr>
      <w:tr w:rsidR="00D60E43" w:rsidRPr="00F57F62" w14:paraId="47167050" w14:textId="77777777" w:rsidTr="00B07635">
        <w:trPr>
          <w:jc w:val="center"/>
        </w:trPr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32095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Jian Yang</w:t>
            </w:r>
          </w:p>
        </w:tc>
        <w:tc>
          <w:tcPr>
            <w:tcW w:w="2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5F349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36</w:t>
            </w:r>
          </w:p>
        </w:tc>
        <w:tc>
          <w:tcPr>
            <w:tcW w:w="20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2F470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Genetics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83A03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6</w:t>
            </w:r>
          </w:p>
        </w:tc>
      </w:tr>
      <w:tr w:rsidR="00D60E43" w:rsidRPr="00F57F62" w14:paraId="2B3941A3" w14:textId="77777777" w:rsidTr="00B07635">
        <w:trPr>
          <w:jc w:val="center"/>
        </w:trPr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F8421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 xml:space="preserve">Po-Ru </w:t>
            </w:r>
            <w:proofErr w:type="spellStart"/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Loh</w:t>
            </w:r>
            <w:proofErr w:type="spellEnd"/>
          </w:p>
        </w:tc>
        <w:tc>
          <w:tcPr>
            <w:tcW w:w="2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CC261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35</w:t>
            </w:r>
          </w:p>
        </w:tc>
        <w:tc>
          <w:tcPr>
            <w:tcW w:w="20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9B54B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Genetics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CBE9C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2</w:t>
            </w:r>
          </w:p>
        </w:tc>
      </w:tr>
      <w:tr w:rsidR="00D60E43" w:rsidRPr="00F57F62" w14:paraId="46C4CDE1" w14:textId="77777777" w:rsidTr="00B07635">
        <w:trPr>
          <w:jc w:val="center"/>
        </w:trPr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7D152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Caroline Hayward</w:t>
            </w:r>
          </w:p>
        </w:tc>
        <w:tc>
          <w:tcPr>
            <w:tcW w:w="2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61F17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35</w:t>
            </w:r>
          </w:p>
        </w:tc>
        <w:tc>
          <w:tcPr>
            <w:tcW w:w="20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38933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Genetics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34D2E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1</w:t>
            </w:r>
          </w:p>
        </w:tc>
      </w:tr>
      <w:tr w:rsidR="00D60E43" w:rsidRPr="00F57F62" w14:paraId="34C62807" w14:textId="77777777" w:rsidTr="00B07635">
        <w:trPr>
          <w:jc w:val="center"/>
        </w:trPr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B076F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proofErr w:type="spellStart"/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Aarno</w:t>
            </w:r>
            <w:proofErr w:type="spellEnd"/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 xml:space="preserve"> </w:t>
            </w:r>
            <w:proofErr w:type="spellStart"/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Palotie</w:t>
            </w:r>
            <w:proofErr w:type="spellEnd"/>
          </w:p>
        </w:tc>
        <w:tc>
          <w:tcPr>
            <w:tcW w:w="2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8E6DF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34</w:t>
            </w:r>
          </w:p>
        </w:tc>
        <w:tc>
          <w:tcPr>
            <w:tcW w:w="20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DBFAC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Genetics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EE7FA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4</w:t>
            </w:r>
          </w:p>
        </w:tc>
      </w:tr>
      <w:tr w:rsidR="00D60E43" w:rsidRPr="00F57F62" w14:paraId="29E6D30D" w14:textId="77777777" w:rsidTr="00B07635">
        <w:trPr>
          <w:jc w:val="center"/>
        </w:trPr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A75F3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 xml:space="preserve">Jay </w:t>
            </w:r>
            <w:proofErr w:type="spellStart"/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Shendure</w:t>
            </w:r>
            <w:proofErr w:type="spellEnd"/>
          </w:p>
        </w:tc>
        <w:tc>
          <w:tcPr>
            <w:tcW w:w="2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BCA37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34</w:t>
            </w:r>
          </w:p>
        </w:tc>
        <w:tc>
          <w:tcPr>
            <w:tcW w:w="20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958C6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Genomics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F97FE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3</w:t>
            </w:r>
          </w:p>
        </w:tc>
      </w:tr>
      <w:tr w:rsidR="00D60E43" w:rsidRPr="00F57F62" w14:paraId="11C45974" w14:textId="77777777" w:rsidTr="00B07635">
        <w:trPr>
          <w:jc w:val="center"/>
        </w:trPr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B6328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 xml:space="preserve">Ole A. </w:t>
            </w:r>
            <w:proofErr w:type="spellStart"/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Andreassen</w:t>
            </w:r>
            <w:proofErr w:type="spellEnd"/>
          </w:p>
        </w:tc>
        <w:tc>
          <w:tcPr>
            <w:tcW w:w="2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7A94E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34</w:t>
            </w:r>
          </w:p>
        </w:tc>
        <w:tc>
          <w:tcPr>
            <w:tcW w:w="20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702E2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Genetics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66101" w14:textId="77777777" w:rsidR="00D60E43" w:rsidRPr="00F57F62" w:rsidRDefault="00D60E43" w:rsidP="00B07635">
            <w:pPr>
              <w:widowControl w:val="0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2</w:t>
            </w:r>
          </w:p>
        </w:tc>
      </w:tr>
    </w:tbl>
    <w:p w14:paraId="34A874CF" w14:textId="77777777" w:rsidR="00D60E43" w:rsidRPr="00F57F62" w:rsidRDefault="00D60E43" w:rsidP="00D60E43">
      <w:pPr>
        <w:spacing w:line="480" w:lineRule="auto"/>
        <w:rPr>
          <w:kern w:val="2"/>
          <w:sz w:val="24"/>
          <w:szCs w:val="24"/>
          <w14:ligatures w14:val="standard"/>
          <w14:numSpacing w14:val="proportional"/>
          <w14:cntxtAlts/>
        </w:rPr>
      </w:pPr>
    </w:p>
    <w:p w14:paraId="3D95EF7C" w14:textId="58E5FEE4" w:rsidR="00D60E43" w:rsidRPr="00F57F62" w:rsidRDefault="00D60E43" w:rsidP="00D60E43">
      <w:pPr>
        <w:spacing w:line="480" w:lineRule="auto"/>
        <w:ind w:left="720"/>
        <w:rPr>
          <w:kern w:val="2"/>
          <w:sz w:val="24"/>
          <w:szCs w:val="24"/>
          <w14:ligatures w14:val="standard"/>
          <w14:numSpacing w14:val="proportional"/>
          <w14:cntxtAlts/>
        </w:rPr>
      </w:pPr>
      <w:r>
        <w:rPr>
          <w:b/>
          <w:kern w:val="2"/>
          <w:sz w:val="24"/>
          <w:szCs w:val="24"/>
          <w14:ligatures w14:val="standard"/>
          <w14:numSpacing w14:val="proportional"/>
          <w14:cntxtAlts/>
        </w:rPr>
        <w:t>Figure</w:t>
      </w:r>
      <w:r w:rsidRPr="00F57F62">
        <w:rPr>
          <w:b/>
          <w:kern w:val="2"/>
          <w:sz w:val="24"/>
          <w:szCs w:val="24"/>
          <w14:ligatures w14:val="standard"/>
          <w14:numSpacing w14:val="proportional"/>
          <w14:cntxtAlts/>
        </w:rPr>
        <w:t xml:space="preserve"> 1—</w:t>
      </w:r>
      <w:r>
        <w:rPr>
          <w:b/>
          <w:kern w:val="2"/>
          <w:sz w:val="24"/>
          <w:szCs w:val="24"/>
          <w14:ligatures w14:val="standard"/>
          <w14:numSpacing w14:val="proportional"/>
          <w14:cntxtAlts/>
        </w:rPr>
        <w:t>source data 5</w:t>
      </w:r>
      <w:bookmarkStart w:id="0" w:name="_GoBack"/>
      <w:bookmarkEnd w:id="0"/>
      <w:r w:rsidRPr="00F57F62">
        <w:rPr>
          <w:b/>
          <w:kern w:val="2"/>
          <w:sz w:val="24"/>
          <w:szCs w:val="24"/>
          <w14:ligatures w14:val="standard"/>
          <w14:numSpacing w14:val="proportional"/>
          <w14:cntxtAlts/>
        </w:rPr>
        <w:t>:</w:t>
      </w:r>
      <w:r w:rsidRPr="00F57F62">
        <w:rPr>
          <w:kern w:val="2"/>
          <w:sz w:val="24"/>
          <w:szCs w:val="24"/>
          <w14:ligatures w14:val="standard"/>
          <w14:numSpacing w14:val="proportional"/>
          <w14:cntxtAlts/>
        </w:rPr>
        <w:t xml:space="preserve"> The top 15 authors with the most preprints on </w:t>
      </w:r>
      <w:proofErr w:type="spellStart"/>
      <w:r w:rsidRPr="00F57F62">
        <w:rPr>
          <w:kern w:val="2"/>
          <w:sz w:val="24"/>
          <w:szCs w:val="24"/>
          <w14:ligatures w14:val="standard"/>
          <w14:numSpacing w14:val="proportional"/>
          <w14:cntxtAlts/>
        </w:rPr>
        <w:t>bioRxiv</w:t>
      </w:r>
      <w:proofErr w:type="spellEnd"/>
      <w:r w:rsidRPr="00F57F62">
        <w:rPr>
          <w:kern w:val="2"/>
          <w:sz w:val="24"/>
          <w:szCs w:val="24"/>
          <w14:ligatures w14:val="standard"/>
          <w14:numSpacing w14:val="proportional"/>
          <w14:cntxtAlts/>
        </w:rPr>
        <w:t xml:space="preserve">. Names are listed as they appear on biorxiv.org, after making corrections outlined in the Methods section. An author’s "Primary field" is the </w:t>
      </w:r>
      <w:proofErr w:type="spellStart"/>
      <w:r w:rsidRPr="00F57F62">
        <w:rPr>
          <w:kern w:val="2"/>
          <w:sz w:val="24"/>
          <w:szCs w:val="24"/>
          <w14:ligatures w14:val="standard"/>
          <w14:numSpacing w14:val="proportional"/>
          <w14:cntxtAlts/>
        </w:rPr>
        <w:t>bioRxiv</w:t>
      </w:r>
      <w:proofErr w:type="spellEnd"/>
      <w:r w:rsidRPr="00F57F62">
        <w:rPr>
          <w:kern w:val="2"/>
          <w:sz w:val="24"/>
          <w:szCs w:val="24"/>
          <w14:ligatures w14:val="standard"/>
          <w14:numSpacing w14:val="proportional"/>
          <w14:cntxtAlts/>
        </w:rPr>
        <w:t xml:space="preserve"> collection to which they have submitted the most preprints. Preprint count does not account for duplicates: For example, Ian J. </w:t>
      </w:r>
      <w:proofErr w:type="spellStart"/>
      <w:r w:rsidRPr="00F57F62">
        <w:rPr>
          <w:kern w:val="2"/>
          <w:sz w:val="24"/>
          <w:szCs w:val="24"/>
          <w14:ligatures w14:val="standard"/>
          <w14:numSpacing w14:val="proportional"/>
          <w14:cntxtAlts/>
        </w:rPr>
        <w:t>Deary</w:t>
      </w:r>
      <w:proofErr w:type="spellEnd"/>
      <w:r w:rsidRPr="00F57F62">
        <w:rPr>
          <w:kern w:val="2"/>
          <w:sz w:val="24"/>
          <w:szCs w:val="24"/>
          <w14:ligatures w14:val="standard"/>
          <w14:numSpacing w14:val="proportional"/>
          <w14:cntxtAlts/>
        </w:rPr>
        <w:t xml:space="preserve"> and Andrew M. McIntosh are both high on the list, but their counts include multiple preprints that they co-authored together. The "Email addresses" field lists the number of email addresses observed in that author’s preprints that is </w:t>
      </w:r>
      <w:r w:rsidRPr="00F57F62">
        <w:rPr>
          <w:kern w:val="2"/>
          <w:sz w:val="24"/>
          <w:szCs w:val="24"/>
          <w14:ligatures w14:val="standard"/>
          <w14:numSpacing w14:val="proportional"/>
          <w14:cntxtAlts/>
        </w:rPr>
        <w:lastRenderedPageBreak/>
        <w:t xml:space="preserve">attributed to </w:t>
      </w:r>
      <w:proofErr w:type="gramStart"/>
      <w:r w:rsidRPr="00F57F62">
        <w:rPr>
          <w:kern w:val="2"/>
          <w:sz w:val="24"/>
          <w:szCs w:val="24"/>
          <w14:ligatures w14:val="standard"/>
          <w14:numSpacing w14:val="proportional"/>
          <w14:cntxtAlts/>
        </w:rPr>
        <w:t>them, and</w:t>
      </w:r>
      <w:proofErr w:type="gramEnd"/>
      <w:r w:rsidRPr="00F57F62">
        <w:rPr>
          <w:kern w:val="2"/>
          <w:sz w:val="24"/>
          <w:szCs w:val="24"/>
          <w14:ligatures w14:val="standard"/>
          <w14:numSpacing w14:val="proportional"/>
          <w14:cntxtAlts/>
        </w:rPr>
        <w:t xml:space="preserve"> is used to approximate the risk that the author is actually a conglomeration of multiple researchers with the same name.</w:t>
      </w:r>
    </w:p>
    <w:p w14:paraId="3C112A0F" w14:textId="77777777" w:rsidR="002E07AC" w:rsidRDefault="00D60E43"/>
    <w:sectPr w:rsidR="002E07AC" w:rsidSect="005263F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E43"/>
    <w:rsid w:val="005263F3"/>
    <w:rsid w:val="00940DA6"/>
    <w:rsid w:val="00A6060B"/>
    <w:rsid w:val="00D6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11510F"/>
  <w15:chartTrackingRefBased/>
  <w15:docId w15:val="{25BDB4FA-264B-7344-980F-124EF5156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0E43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Richmond</dc:creator>
  <cp:keywords/>
  <dc:description/>
  <cp:lastModifiedBy>Susanna Richmond</cp:lastModifiedBy>
  <cp:revision>1</cp:revision>
  <dcterms:created xsi:type="dcterms:W3CDTF">2019-04-15T13:04:00Z</dcterms:created>
  <dcterms:modified xsi:type="dcterms:W3CDTF">2019-04-15T13:05:00Z</dcterms:modified>
</cp:coreProperties>
</file>