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AFD3" w14:textId="77777777" w:rsidR="00EF7B1B" w:rsidRDefault="00EF7B1B" w:rsidP="00EF7B1B">
      <w:pPr>
        <w:jc w:val="both"/>
        <w:rPr>
          <w:rFonts w:ascii="Times New Roman" w:hAnsi="Times New Roman" w:cs="Times New Roman"/>
        </w:rPr>
      </w:pPr>
    </w:p>
    <w:p w14:paraId="730408CB" w14:textId="77777777" w:rsidR="00EF7B1B" w:rsidRDefault="00EF7B1B" w:rsidP="00EF7B1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3F2CCF0" wp14:editId="64ACC251">
            <wp:extent cx="5486400" cy="324802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_trac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23719" w14:textId="77777777" w:rsidR="008E185B" w:rsidRDefault="008E185B" w:rsidP="00EF7B1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</w:p>
    <w:p w14:paraId="2798B4E4" w14:textId="77777777" w:rsidR="00EF7B1B" w:rsidRDefault="008E185B" w:rsidP="00EF7B1B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Times New Roman" w:hAnsi="Times New Roman" w:cs="Times New Roman"/>
          <w:b/>
          <w:bCs/>
        </w:rPr>
        <w:t>Figure 8-figure supplement 1</w:t>
      </w:r>
      <w:bookmarkStart w:id="0" w:name="_GoBack"/>
      <w:bookmarkEnd w:id="0"/>
      <w:r w:rsidR="00EF7B1B">
        <w:rPr>
          <w:rFonts w:ascii="Times New Roman" w:hAnsi="Times New Roman" w:cs="Times New Roman"/>
          <w:b/>
          <w:bCs/>
        </w:rPr>
        <w:t>. </w:t>
      </w:r>
      <w:r w:rsidR="00EF7B1B">
        <w:rPr>
          <w:rFonts w:ascii="Times New Roman" w:hAnsi="Times New Roman" w:cs="Times New Roman"/>
        </w:rPr>
        <w:t>Representative time traces of the extension change of the hairpin (pH = 6.1) in the absence of SsrB (A), and in the presence of SsrB at 37 nM (B) and 75 nM (C). The measurements were recorded at three forces: the binding force (</w:t>
      </w:r>
      <w:r w:rsidR="00EF7B1B">
        <w:rPr>
          <w:rFonts w:ascii="Lucida Sans Unicode" w:hAnsi="Lucida Sans Unicode" w:cs="Lucida Sans Unicode"/>
          <w:b/>
          <w:bCs/>
        </w:rPr>
        <w:t>∼</w:t>
      </w:r>
      <w:r w:rsidR="00EF7B1B">
        <w:rPr>
          <w:rFonts w:ascii="Times New Roman" w:hAnsi="Times New Roman" w:cs="Times New Roman"/>
        </w:rPr>
        <w:t>3 pN, grey, 2 min), at which the SsrB-hairpin complex reaches equilibrium, the probing force (</w:t>
      </w:r>
      <w:r w:rsidR="00EF7B1B">
        <w:rPr>
          <w:rFonts w:ascii="Lucida Sans Unicode" w:hAnsi="Lucida Sans Unicode" w:cs="Lucida Sans Unicode"/>
          <w:b/>
          <w:bCs/>
        </w:rPr>
        <w:t>∼</w:t>
      </w:r>
      <w:r w:rsidR="00EF7B1B">
        <w:rPr>
          <w:rFonts w:ascii="Times New Roman" w:hAnsi="Times New Roman" w:cs="Times New Roman"/>
        </w:rPr>
        <w:t>12 pN, blue, 30 s), slightly greater than Fc, to observe the binding signals, if any, and the displacing force (</w:t>
      </w:r>
      <w:r w:rsidR="00EF7B1B">
        <w:rPr>
          <w:rFonts w:ascii="Lucida Sans Unicode" w:hAnsi="Lucida Sans Unicode" w:cs="Lucida Sans Unicode"/>
          <w:b/>
          <w:bCs/>
        </w:rPr>
        <w:t>∼</w:t>
      </w:r>
      <w:r w:rsidR="00EF7B1B">
        <w:rPr>
          <w:rFonts w:ascii="Times New Roman" w:hAnsi="Times New Roman" w:cs="Times New Roman"/>
        </w:rPr>
        <w:t>30 pN, magenta, 5 s), to rapidly displace bound SsrB. The black arrows indicate the cycles at which SsrB-DNA binding was observed.</w:t>
      </w:r>
    </w:p>
    <w:p w14:paraId="28605D94" w14:textId="77777777" w:rsidR="00667097" w:rsidRDefault="00667097"/>
    <w:sectPr w:rsidR="00667097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1B"/>
    <w:rsid w:val="003A4FA5"/>
    <w:rsid w:val="003C33B1"/>
    <w:rsid w:val="004D4ADE"/>
    <w:rsid w:val="00667097"/>
    <w:rsid w:val="00810C0F"/>
    <w:rsid w:val="008E185B"/>
    <w:rsid w:val="00A638B9"/>
    <w:rsid w:val="00D9281D"/>
    <w:rsid w:val="00EF7B1B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0A0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B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B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7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B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Macintosh Word</Application>
  <DocSecurity>0</DocSecurity>
  <Lines>4</Lines>
  <Paragraphs>1</Paragraphs>
  <ScaleCrop>false</ScaleCrop>
  <Company>Columbia University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2</cp:revision>
  <dcterms:created xsi:type="dcterms:W3CDTF">2019-04-06T08:05:00Z</dcterms:created>
  <dcterms:modified xsi:type="dcterms:W3CDTF">2019-04-06T08:58:00Z</dcterms:modified>
</cp:coreProperties>
</file>