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26C34" w14:textId="77777777" w:rsidR="00B928D5" w:rsidRDefault="00B928D5" w:rsidP="00B928D5">
      <w:pPr>
        <w:spacing w:line="48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F6358">
        <w:rPr>
          <w:rFonts w:ascii="Times New Roman" w:hAnsi="Times New Roman" w:cs="Times New Roman"/>
          <w:b/>
          <w:sz w:val="22"/>
          <w:szCs w:val="22"/>
        </w:rPr>
        <w:t xml:space="preserve">Supplementary Table </w:t>
      </w:r>
      <w:r>
        <w:rPr>
          <w:rFonts w:ascii="Times New Roman" w:hAnsi="Times New Roman" w:cs="Times New Roman"/>
          <w:b/>
          <w:sz w:val="22"/>
          <w:szCs w:val="22"/>
        </w:rPr>
        <w:t>5</w:t>
      </w:r>
      <w:r w:rsidRPr="001F6358">
        <w:rPr>
          <w:rFonts w:ascii="Times New Roman" w:hAnsi="Times New Roman" w:cs="Times New Roman"/>
          <w:b/>
          <w:sz w:val="22"/>
          <w:szCs w:val="22"/>
        </w:rPr>
        <w:t>. Crystallographic statistics.</w:t>
      </w:r>
    </w:p>
    <w:tbl>
      <w:tblPr>
        <w:tblStyle w:val="TableGrid"/>
        <w:tblpPr w:leftFromText="180" w:rightFromText="180" w:vertAnchor="text" w:tblpXSpec="center" w:tblpY="1"/>
        <w:tblOverlap w:val="never"/>
        <w:tblW w:w="7138" w:type="dxa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69"/>
        <w:gridCol w:w="3569"/>
      </w:tblGrid>
      <w:tr w:rsidR="00B928D5" w:rsidRPr="006E0D97" w14:paraId="1CE9283E" w14:textId="77777777" w:rsidTr="00240DBF">
        <w:trPr>
          <w:trHeight w:val="323"/>
        </w:trPr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DF2DC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1AD84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SagA-NlpC</w:t>
            </w:r>
            <w:proofErr w:type="spellEnd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/p60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a</w:t>
            </w:r>
          </w:p>
        </w:tc>
      </w:tr>
      <w:tr w:rsidR="00B928D5" w:rsidRPr="006E0D97" w14:paraId="62F3957C" w14:textId="77777777" w:rsidTr="00240DBF">
        <w:trPr>
          <w:trHeight w:val="323"/>
        </w:trPr>
        <w:tc>
          <w:tcPr>
            <w:tcW w:w="3569" w:type="dxa"/>
            <w:tcBorders>
              <w:top w:val="single" w:sz="4" w:space="0" w:color="auto"/>
              <w:right w:val="nil"/>
            </w:tcBorders>
            <w:vAlign w:val="center"/>
          </w:tcPr>
          <w:p w14:paraId="37B9885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PDB entry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</w:tcBorders>
            <w:vAlign w:val="center"/>
          </w:tcPr>
          <w:p w14:paraId="63AF9BA9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6B8C</w:t>
            </w:r>
          </w:p>
        </w:tc>
      </w:tr>
      <w:tr w:rsidR="00B928D5" w:rsidRPr="006E0D97" w14:paraId="0AE71D1C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35BA8FE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Data collection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12EC923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0C07DE29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5F546308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Beamline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43681C06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NSLS-II AMX</w:t>
            </w:r>
          </w:p>
        </w:tc>
      </w:tr>
      <w:tr w:rsidR="00B928D5" w:rsidRPr="006E0D97" w14:paraId="24B1CA30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24E2856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Space group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2125080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P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4 3 2</w:t>
            </w:r>
          </w:p>
        </w:tc>
      </w:tr>
      <w:tr w:rsidR="00B928D5" w:rsidRPr="006E0D97" w14:paraId="70F74828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53A65E84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Cell dimensions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3084C7F1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1D42A70A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59981E0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a, b, c 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(Å)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3BC55B0C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100.38, 100.38, 100.38</w:t>
            </w:r>
          </w:p>
        </w:tc>
      </w:tr>
      <w:tr w:rsidR="00B928D5" w:rsidRPr="006E0D97" w14:paraId="53BC6746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210EEFA5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α, β, γ 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(°)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50C4B95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90, 90, 90</w:t>
            </w:r>
          </w:p>
        </w:tc>
      </w:tr>
      <w:tr w:rsidR="00B928D5" w:rsidRPr="006E0D97" w14:paraId="23BD4D1C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DD2C19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Wavelength (Å)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1959C3E8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0.9793</w:t>
            </w:r>
          </w:p>
        </w:tc>
      </w:tr>
      <w:tr w:rsidR="00B928D5" w:rsidRPr="006E0D97" w14:paraId="27BE70EE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3043FCF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Resolution range (Å)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3B4D839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50.00 – 2.40 (2.49 - </w:t>
            </w:r>
            <w:proofErr w:type="gramStart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2.40)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b</w:t>
            </w:r>
            <w:proofErr w:type="gramEnd"/>
          </w:p>
        </w:tc>
      </w:tr>
      <w:tr w:rsidR="00B928D5" w:rsidRPr="006E0D97" w14:paraId="684ED5CA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4FFF26F6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No. of total reflections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0A8696AB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92864 (3032)</w:t>
            </w:r>
          </w:p>
        </w:tc>
      </w:tr>
      <w:tr w:rsidR="00B928D5" w:rsidRPr="006E0D97" w14:paraId="194366F2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336CA50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No. of unique reflections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6A033CE1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7166 (645)</w:t>
            </w:r>
          </w:p>
        </w:tc>
      </w:tr>
      <w:tr w:rsidR="00B928D5" w:rsidRPr="006E0D97" w14:paraId="22D8D8D7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49D11845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Completeness (%)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759CFE68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99.3 (93.2)</w:t>
            </w:r>
          </w:p>
        </w:tc>
      </w:tr>
      <w:tr w:rsidR="00B928D5" w:rsidRPr="006E0D97" w14:paraId="74BBA8E5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40369B9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I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/ σ (</w:t>
            </w: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I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41FBD232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32.4 (0.52)</w:t>
            </w:r>
          </w:p>
        </w:tc>
      </w:tr>
      <w:tr w:rsidR="00B928D5" w:rsidRPr="006E0D97" w14:paraId="76ADC003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5E4B462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CC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1/2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08CE8AC1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0.984 (0.334)</w:t>
            </w:r>
          </w:p>
        </w:tc>
      </w:tr>
      <w:tr w:rsidR="00B928D5" w:rsidRPr="006E0D97" w14:paraId="4505472A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02AC323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merge</w:t>
            </w:r>
            <w:proofErr w:type="spellEnd"/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231057CE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0.095 (1.579)</w:t>
            </w:r>
          </w:p>
        </w:tc>
      </w:tr>
      <w:tr w:rsidR="00B928D5" w:rsidRPr="006E0D97" w14:paraId="03E6B0A1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687F21E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meas</w:t>
            </w:r>
            <w:proofErr w:type="spellEnd"/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8605D4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0.099 (1.753)</w:t>
            </w:r>
          </w:p>
        </w:tc>
      </w:tr>
      <w:tr w:rsidR="00B928D5" w:rsidRPr="006E0D97" w14:paraId="1D9AF6D4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4412C96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pim</w:t>
            </w:r>
            <w:proofErr w:type="spellEnd"/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1FC682F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0.026 (0.734)</w:t>
            </w:r>
          </w:p>
        </w:tc>
      </w:tr>
      <w:tr w:rsidR="00B928D5" w:rsidRPr="006E0D97" w14:paraId="38AFD8D8" w14:textId="77777777" w:rsidTr="00240DBF">
        <w:trPr>
          <w:trHeight w:val="323"/>
        </w:trPr>
        <w:tc>
          <w:tcPr>
            <w:tcW w:w="3569" w:type="dxa"/>
            <w:tcBorders>
              <w:bottom w:val="nil"/>
              <w:right w:val="nil"/>
            </w:tcBorders>
            <w:vAlign w:val="center"/>
          </w:tcPr>
          <w:p w14:paraId="5CFBE63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Multiplicity</w:t>
            </w:r>
          </w:p>
        </w:tc>
        <w:tc>
          <w:tcPr>
            <w:tcW w:w="3569" w:type="dxa"/>
            <w:tcBorders>
              <w:left w:val="nil"/>
              <w:bottom w:val="nil"/>
            </w:tcBorders>
            <w:vAlign w:val="center"/>
          </w:tcPr>
          <w:p w14:paraId="46BC1649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13.0 (4.7)</w:t>
            </w:r>
          </w:p>
        </w:tc>
      </w:tr>
      <w:tr w:rsidR="00B928D5" w:rsidRPr="006E0D97" w14:paraId="0F8CF202" w14:textId="77777777" w:rsidTr="00240DBF">
        <w:trPr>
          <w:trHeight w:val="323"/>
        </w:trPr>
        <w:tc>
          <w:tcPr>
            <w:tcW w:w="3569" w:type="dxa"/>
            <w:tcBorders>
              <w:top w:val="nil"/>
              <w:bottom w:val="nil"/>
              <w:right w:val="nil"/>
            </w:tcBorders>
            <w:vAlign w:val="center"/>
          </w:tcPr>
          <w:p w14:paraId="4D1EA6A4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</w:tcBorders>
            <w:vAlign w:val="center"/>
          </w:tcPr>
          <w:p w14:paraId="2BEBC90E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35697B36" w14:textId="77777777" w:rsidTr="00240DBF">
        <w:trPr>
          <w:trHeight w:val="323"/>
        </w:trPr>
        <w:tc>
          <w:tcPr>
            <w:tcW w:w="3569" w:type="dxa"/>
            <w:tcBorders>
              <w:top w:val="nil"/>
              <w:bottom w:val="nil"/>
              <w:right w:val="nil"/>
            </w:tcBorders>
            <w:vAlign w:val="center"/>
          </w:tcPr>
          <w:p w14:paraId="2D2CFAFD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Refinement statistics</w:t>
            </w:r>
          </w:p>
        </w:tc>
        <w:tc>
          <w:tcPr>
            <w:tcW w:w="3569" w:type="dxa"/>
            <w:tcBorders>
              <w:top w:val="nil"/>
              <w:left w:val="nil"/>
              <w:bottom w:val="nil"/>
            </w:tcBorders>
            <w:vAlign w:val="center"/>
          </w:tcPr>
          <w:p w14:paraId="31A58198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68C18230" w14:textId="77777777" w:rsidTr="00240DBF">
        <w:trPr>
          <w:trHeight w:val="323"/>
        </w:trPr>
        <w:tc>
          <w:tcPr>
            <w:tcW w:w="3569" w:type="dxa"/>
            <w:tcBorders>
              <w:top w:val="nil"/>
              <w:right w:val="nil"/>
            </w:tcBorders>
            <w:vAlign w:val="center"/>
          </w:tcPr>
          <w:p w14:paraId="2AA89C09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Resolution range (Å)</w:t>
            </w:r>
          </w:p>
        </w:tc>
        <w:tc>
          <w:tcPr>
            <w:tcW w:w="3569" w:type="dxa"/>
            <w:tcBorders>
              <w:top w:val="nil"/>
              <w:left w:val="nil"/>
            </w:tcBorders>
            <w:vAlign w:val="center"/>
          </w:tcPr>
          <w:p w14:paraId="2176E1C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50.00 – 2.40 </w:t>
            </w:r>
          </w:p>
        </w:tc>
      </w:tr>
      <w:tr w:rsidR="00B928D5" w:rsidRPr="006E0D97" w14:paraId="464301D7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62AC49EC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No. of reflections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069CBE7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7155 (634)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928D5" w:rsidRPr="006E0D97" w14:paraId="5FBE6FEF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13AA7A90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reflections used for </w:t>
            </w:r>
            <w:proofErr w:type="spellStart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Rfree</w:t>
            </w:r>
            <w:proofErr w:type="spellEnd"/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0E2C978B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717 (64)</w:t>
            </w:r>
          </w:p>
        </w:tc>
      </w:tr>
      <w:tr w:rsidR="00B928D5" w:rsidRPr="006E0D97" w14:paraId="6C04E58A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27D905C2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work</w:t>
            </w:r>
            <w:proofErr w:type="spellEnd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6E0D9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free</w:t>
            </w:r>
            <w:proofErr w:type="spellEnd"/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4BBEA676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0.24 / 0.27</w:t>
            </w:r>
          </w:p>
        </w:tc>
      </w:tr>
      <w:tr w:rsidR="00B928D5" w:rsidRPr="006E0D97" w14:paraId="3A37DD49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12E6D5D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No. atoms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3CA5A85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886</w:t>
            </w:r>
          </w:p>
        </w:tc>
      </w:tr>
      <w:tr w:rsidR="00B928D5" w:rsidRPr="006E0D97" w14:paraId="20D4AE82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0C30FE88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macromolecules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4EA1660C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878</w:t>
            </w:r>
          </w:p>
        </w:tc>
      </w:tr>
      <w:tr w:rsidR="00B928D5" w:rsidRPr="006E0D97" w14:paraId="167DC930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1A376408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Ligand/ion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A05403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B928D5" w:rsidRPr="006E0D97" w14:paraId="6B5805A3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29C014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Water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65EA5F54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B928D5" w:rsidRPr="006E0D97" w14:paraId="21C74599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2ADD1C2D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R.m.s</w:t>
            </w:r>
            <w:proofErr w:type="spellEnd"/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deviations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7F8EBBCB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4900647D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4C5B2F4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Bond lengths (Å)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F6F3991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0.003 </w:t>
            </w:r>
          </w:p>
        </w:tc>
      </w:tr>
      <w:tr w:rsidR="00B928D5" w:rsidRPr="006E0D97" w14:paraId="67BA942C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2F1BF012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Bond angles (°)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DD5A22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0.61</w:t>
            </w:r>
          </w:p>
        </w:tc>
      </w:tr>
      <w:tr w:rsidR="00B928D5" w:rsidRPr="006E0D97" w14:paraId="7F57ADE3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7BD34C4C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Average B-factors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74230A86" w14:textId="77777777" w:rsidR="00B928D5" w:rsidRPr="006E0D97" w:rsidRDefault="00B928D5" w:rsidP="00240D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928D5" w:rsidRPr="006E0D97" w14:paraId="108E0F72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61B6DD5E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macromolecules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3F573B63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75.75</w:t>
            </w:r>
          </w:p>
        </w:tc>
      </w:tr>
      <w:tr w:rsidR="00B928D5" w:rsidRPr="006E0D97" w14:paraId="18B28C0F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34F35105" w14:textId="77777777" w:rsidR="00B928D5" w:rsidRPr="006E0D97" w:rsidRDefault="00B928D5" w:rsidP="00240DBF">
            <w:pP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Ramachandran favored (%)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75780707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97.41</w:t>
            </w:r>
          </w:p>
        </w:tc>
      </w:tr>
      <w:tr w:rsidR="00B928D5" w:rsidRPr="006E0D97" w14:paraId="4A69F497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14B3E050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Ramachandran outliers (%)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53B10DC4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</w:p>
        </w:tc>
      </w:tr>
      <w:tr w:rsidR="00B928D5" w:rsidRPr="006E0D97" w14:paraId="028B34B7" w14:textId="77777777" w:rsidTr="00240DBF">
        <w:trPr>
          <w:trHeight w:val="323"/>
        </w:trPr>
        <w:tc>
          <w:tcPr>
            <w:tcW w:w="3569" w:type="dxa"/>
            <w:tcBorders>
              <w:right w:val="nil"/>
            </w:tcBorders>
            <w:vAlign w:val="center"/>
          </w:tcPr>
          <w:p w14:paraId="5DD91D45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Rotamer</w:t>
            </w:r>
            <w:proofErr w:type="spellEnd"/>
            <w:r w:rsidRPr="006E0D9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outliers (%)</w:t>
            </w:r>
          </w:p>
        </w:tc>
        <w:tc>
          <w:tcPr>
            <w:tcW w:w="3569" w:type="dxa"/>
            <w:tcBorders>
              <w:left w:val="nil"/>
            </w:tcBorders>
            <w:vAlign w:val="center"/>
          </w:tcPr>
          <w:p w14:paraId="6D44C6CA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3.45</w:t>
            </w:r>
          </w:p>
        </w:tc>
      </w:tr>
      <w:tr w:rsidR="00B928D5" w:rsidRPr="006E0D97" w14:paraId="3DDA0B5B" w14:textId="77777777" w:rsidTr="00240DBF">
        <w:trPr>
          <w:trHeight w:val="323"/>
        </w:trPr>
        <w:tc>
          <w:tcPr>
            <w:tcW w:w="3569" w:type="dxa"/>
            <w:tcBorders>
              <w:bottom w:val="single" w:sz="4" w:space="0" w:color="auto"/>
              <w:right w:val="nil"/>
            </w:tcBorders>
            <w:vAlign w:val="center"/>
          </w:tcPr>
          <w:p w14:paraId="3171F160" w14:textId="77777777" w:rsidR="00B928D5" w:rsidRPr="006E0D97" w:rsidRDefault="00B928D5" w:rsidP="00240DBF">
            <w:pP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E0D97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Clashscore</w:t>
            </w:r>
            <w:proofErr w:type="spellEnd"/>
          </w:p>
        </w:tc>
        <w:tc>
          <w:tcPr>
            <w:tcW w:w="3569" w:type="dxa"/>
            <w:tcBorders>
              <w:left w:val="nil"/>
              <w:bottom w:val="single" w:sz="4" w:space="0" w:color="auto"/>
            </w:tcBorders>
            <w:vAlign w:val="center"/>
          </w:tcPr>
          <w:p w14:paraId="7B45BFBF" w14:textId="77777777" w:rsidR="00B928D5" w:rsidRPr="006E0D97" w:rsidRDefault="00B928D5" w:rsidP="00240DB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0D9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4.66</w:t>
            </w:r>
          </w:p>
        </w:tc>
      </w:tr>
    </w:tbl>
    <w:p w14:paraId="70F27D65" w14:textId="77777777" w:rsidR="00B928D5" w:rsidRPr="001F6358" w:rsidRDefault="00B928D5" w:rsidP="00B928D5">
      <w:pPr>
        <w:spacing w:line="48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AA1B3AD" w14:textId="77777777" w:rsidR="0049624E" w:rsidRDefault="00B928D5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ab/>
      </w:r>
    </w:p>
    <w:p w14:paraId="1BB024CF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D1BC4CC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C44050A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B9A6586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5ABA3F91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5A970463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A448CD0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3E8AE62E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207FBC2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EB9001C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590AE1A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923766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F30FDCD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38C908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E062D3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757FC3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0F5FA3D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301C93F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53A6D8F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6298BA3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3058AF0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5227B33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1F923045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6986821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30E1175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30B7E41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69CE245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AD6BD92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117D79F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32260F5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3212161C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CE801B9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19EDD71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C84EF55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86436A6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D095F76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386CC1B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9D6D2BE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7DA9C997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3A1370C9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5C4AE014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84F5130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E969329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07204412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5D6FF2DA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D1DFB5B" w14:textId="77777777" w:rsidR="0049624E" w:rsidRDefault="0049624E" w:rsidP="00B928D5">
      <w:pPr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25CE0FE0" w14:textId="77777777" w:rsidR="0049624E" w:rsidRDefault="00B928D5" w:rsidP="00B928D5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6A5AFB">
        <w:rPr>
          <w:rFonts w:ascii="Times New Roman" w:hAnsi="Times New Roman" w:cs="Times New Roman"/>
          <w:sz w:val="22"/>
          <w:szCs w:val="22"/>
          <w:vertAlign w:val="superscript"/>
        </w:rPr>
        <w:lastRenderedPageBreak/>
        <w:t>a</w:t>
      </w:r>
      <w:r w:rsidRPr="00E841BF">
        <w:rPr>
          <w:rFonts w:ascii="Times New Roman" w:hAnsi="Times New Roman" w:cs="Times New Roman"/>
          <w:sz w:val="22"/>
          <w:szCs w:val="22"/>
        </w:rPr>
        <w:t>One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crystal was used to determine structure</w:t>
      </w:r>
    </w:p>
    <w:p w14:paraId="15CAE86D" w14:textId="1A96C9F2" w:rsidR="00B928D5" w:rsidRDefault="00B928D5" w:rsidP="00B928D5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vertAlign w:val="superscript"/>
        </w:rPr>
        <w:t>b</w:t>
      </w:r>
      <w:r>
        <w:rPr>
          <w:rFonts w:ascii="Times New Roman" w:hAnsi="Times New Roman" w:cs="Times New Roman"/>
          <w:sz w:val="22"/>
          <w:szCs w:val="22"/>
        </w:rPr>
        <w:t>Values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in parentheses are for highest resolution shell</w:t>
      </w:r>
    </w:p>
    <w:p w14:paraId="3EEE0861" w14:textId="77777777" w:rsidR="00B928D5" w:rsidRDefault="00B928D5">
      <w:bookmarkStart w:id="0" w:name="_GoBack"/>
      <w:bookmarkEnd w:id="0"/>
    </w:p>
    <w:sectPr w:rsidR="00B928D5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D5"/>
    <w:rsid w:val="00296600"/>
    <w:rsid w:val="0049624E"/>
    <w:rsid w:val="00B9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D4EEB8"/>
  <w15:chartTrackingRefBased/>
  <w15:docId w15:val="{80651199-A85F-194B-9AB4-D84AD203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8D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8D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2019-03-18T17:39:00Z</dcterms:created>
  <dcterms:modified xsi:type="dcterms:W3CDTF">2019-03-19T20:59:00Z</dcterms:modified>
</cp:coreProperties>
</file>