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115807AC" w14:textId="5571F86A" w:rsidR="00981D93" w:rsidRPr="00981D93" w:rsidRDefault="00981D93" w:rsidP="00971F27">
      <w:pPr>
        <w:framePr w:w="7817" w:h="1651" w:hSpace="180" w:wrap="around" w:vAnchor="text" w:hAnchor="page" w:x="1831" w:y="59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981D93">
        <w:rPr>
          <w:rFonts w:asciiTheme="minorHAnsi" w:hAnsiTheme="minorHAnsi"/>
        </w:rPr>
        <w:t xml:space="preserve">A power analysis </w:t>
      </w:r>
      <w:r w:rsidR="00DD0AE2" w:rsidRPr="00981D93">
        <w:rPr>
          <w:rFonts w:asciiTheme="minorHAnsi" w:hAnsiTheme="minorHAnsi"/>
        </w:rPr>
        <w:t xml:space="preserve">(using GPower software) </w:t>
      </w:r>
      <w:r w:rsidRPr="00981D93">
        <w:rPr>
          <w:rFonts w:asciiTheme="minorHAnsi" w:hAnsiTheme="minorHAnsi"/>
        </w:rPr>
        <w:t>was conducted on preliminary data to determine the sample size necessary to detect effects of optogenetic inactivation on choice behavior, given the 2-factor repeated measures ANOVA design employed (described in the Methods, under Experimental Design and Statistical Analysis, Evaluation of BLA inactivation on intertemporal choice).</w:t>
      </w: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1197005" w:rsidR="00B330BD" w:rsidRPr="00125190" w:rsidRDefault="00CA7F2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numbers of rats of each age that were tested under each condition are provided in the Results section. There were no outliers in the datasets, and hence no </w:t>
      </w:r>
      <w:r w:rsidR="00DD0AE2">
        <w:rPr>
          <w:rFonts w:asciiTheme="minorHAnsi" w:hAnsiTheme="minorHAnsi"/>
        </w:rPr>
        <w:t>data</w:t>
      </w:r>
      <w:r>
        <w:rPr>
          <w:rFonts w:asciiTheme="minorHAnsi" w:hAnsiTheme="minorHAnsi"/>
        </w:rPr>
        <w:t xml:space="preserve"> were excluded from the analyses</w:t>
      </w:r>
      <w:r w:rsidR="00DD0AE2">
        <w:rPr>
          <w:rFonts w:asciiTheme="minorHAnsi" w:hAnsiTheme="minorHAnsi"/>
        </w:rPr>
        <w:t xml:space="preserve"> (other than</w:t>
      </w:r>
      <w:r>
        <w:rPr>
          <w:rFonts w:asciiTheme="minorHAnsi" w:hAnsiTheme="minorHAnsi"/>
        </w:rPr>
        <w:t xml:space="preserve"> for reasons </w:t>
      </w:r>
      <w:r w:rsidR="00DD0AE2">
        <w:rPr>
          <w:rFonts w:asciiTheme="minorHAnsi" w:hAnsiTheme="minorHAnsi"/>
        </w:rPr>
        <w:t xml:space="preserve">due to </w:t>
      </w:r>
      <w:r>
        <w:rPr>
          <w:rFonts w:asciiTheme="minorHAnsi" w:hAnsiTheme="minorHAnsi"/>
        </w:rPr>
        <w:t>misplaced viral injections or cannula placements.</w:t>
      </w:r>
    </w:p>
    <w:p w14:paraId="3E1A6B61" w14:textId="365EA628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02143B8" w:rsidR="0015519A" w:rsidRPr="00505C51" w:rsidRDefault="00981D9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statistical analyses, including the specific tests used and exact group sizes, are described in Methods, Experimental Design and Statistical Anal</w:t>
      </w:r>
      <w:r w:rsidR="00135F29">
        <w:rPr>
          <w:rFonts w:asciiTheme="minorHAnsi" w:hAnsiTheme="minorHAnsi"/>
          <w:sz w:val="22"/>
          <w:szCs w:val="22"/>
        </w:rPr>
        <w:t>ysis (as well as in the Results</w:t>
      </w:r>
      <w:r>
        <w:rPr>
          <w:rFonts w:asciiTheme="minorHAnsi" w:hAnsiTheme="minorHAnsi"/>
          <w:sz w:val="22"/>
          <w:szCs w:val="22"/>
        </w:rPr>
        <w:t xml:space="preserve">). Both effect sizes and exact p values are reported in the Results. Means and SEMs for all data are reported in the Figures and Tables. </w:t>
      </w:r>
      <w:r w:rsidR="003E6D9F">
        <w:rPr>
          <w:rFonts w:asciiTheme="minorHAnsi" w:hAnsiTheme="minorHAnsi"/>
          <w:sz w:val="22"/>
          <w:szCs w:val="22"/>
        </w:rPr>
        <w:t xml:space="preserve"> We did not present raw data in the figures, as we believe that the line graph format of much of the primary data would require a distracting number of lines to depict each subject. We do, however, provide all of the raw data that go into these graphs in table for</w:t>
      </w:r>
      <w:r w:rsidR="001925AF">
        <w:rPr>
          <w:rFonts w:asciiTheme="minorHAnsi" w:hAnsiTheme="minorHAnsi"/>
          <w:sz w:val="22"/>
          <w:szCs w:val="22"/>
        </w:rPr>
        <w:t>mat</w:t>
      </w:r>
      <w:r w:rsidR="003E6D9F">
        <w:rPr>
          <w:rFonts w:asciiTheme="minorHAnsi" w:hAnsiTheme="minorHAnsi"/>
          <w:sz w:val="22"/>
          <w:szCs w:val="22"/>
        </w:rPr>
        <w:t xml:space="preserve"> </w:t>
      </w:r>
      <w:r w:rsidR="001925AF">
        <w:rPr>
          <w:rFonts w:asciiTheme="minorHAnsi" w:hAnsiTheme="minorHAnsi"/>
          <w:sz w:val="22"/>
          <w:szCs w:val="22"/>
        </w:rPr>
        <w:t>in the</w:t>
      </w:r>
      <w:r w:rsidR="003E6D9F">
        <w:rPr>
          <w:rFonts w:asciiTheme="minorHAnsi" w:hAnsiTheme="minorHAnsi"/>
          <w:sz w:val="22"/>
          <w:szCs w:val="22"/>
        </w:rPr>
        <w:t xml:space="preserve"> </w:t>
      </w:r>
      <w:r w:rsidR="001925AF">
        <w:rPr>
          <w:rFonts w:asciiTheme="minorHAnsi" w:hAnsiTheme="minorHAnsi"/>
          <w:sz w:val="22"/>
          <w:szCs w:val="22"/>
        </w:rPr>
        <w:t>“raw data</w:t>
      </w:r>
      <w:r w:rsidR="00DD0AE2">
        <w:rPr>
          <w:rFonts w:asciiTheme="minorHAnsi" w:hAnsiTheme="minorHAnsi"/>
          <w:sz w:val="22"/>
          <w:szCs w:val="22"/>
        </w:rPr>
        <w:t>”</w:t>
      </w:r>
      <w:r w:rsidR="001925AF">
        <w:rPr>
          <w:rFonts w:asciiTheme="minorHAnsi" w:hAnsiTheme="minorHAnsi"/>
          <w:sz w:val="22"/>
          <w:szCs w:val="22"/>
        </w:rPr>
        <w:t xml:space="preserve"> file</w:t>
      </w:r>
      <w:r w:rsidR="00C64C92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3A352F92" w14:textId="4A1C431A" w:rsidR="00135F29" w:rsidRPr="00505C51" w:rsidRDefault="00135F29" w:rsidP="00135F29">
      <w:pPr>
        <w:framePr w:w="7817" w:h="1088" w:hSpace="180" w:wrap="around" w:vAnchor="text" w:hAnchor="page" w:x="1921" w:y="69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Rats were received from the vendor as either young or aged, and hence this was not an assignable condition. All other experiments employed within-subjects designs, such that rats were tested in both experimental (</w:t>
      </w:r>
      <w:r w:rsidR="00DD0AE2">
        <w:rPr>
          <w:rFonts w:asciiTheme="minorHAnsi" w:hAnsiTheme="minorHAnsi"/>
          <w:sz w:val="22"/>
          <w:szCs w:val="22"/>
        </w:rPr>
        <w:t>laser on</w:t>
      </w:r>
      <w:r>
        <w:rPr>
          <w:rFonts w:asciiTheme="minorHAnsi" w:hAnsiTheme="minorHAnsi"/>
          <w:sz w:val="22"/>
          <w:szCs w:val="22"/>
        </w:rPr>
        <w:t xml:space="preserve">) and control conditions. Note that the order in which the BLA was inactivated during different task epochs was </w:t>
      </w:r>
      <w:r w:rsidRPr="00135F29">
        <w:rPr>
          <w:rFonts w:asciiTheme="minorHAnsi" w:hAnsiTheme="minorHAnsi"/>
          <w:sz w:val="22"/>
          <w:szCs w:val="22"/>
        </w:rPr>
        <w:t xml:space="preserve">randomized and counterbalanced across the two ages, and this is reported in the Methods, </w:t>
      </w:r>
      <w:r>
        <w:rPr>
          <w:rFonts w:asciiTheme="minorHAnsi" w:hAnsiTheme="minorHAnsi"/>
          <w:sz w:val="22"/>
          <w:szCs w:val="22"/>
        </w:rPr>
        <w:t>“</w:t>
      </w:r>
      <w:r w:rsidRPr="00135F29">
        <w:rPr>
          <w:rFonts w:asciiTheme="minorHAnsi" w:hAnsiTheme="minorHAnsi"/>
          <w:sz w:val="22"/>
          <w:szCs w:val="22"/>
        </w:rPr>
        <w:t>Effects of optogenetic inhibition during specific task epochs</w:t>
      </w:r>
      <w:r>
        <w:rPr>
          <w:rFonts w:asciiTheme="minorHAnsi" w:hAnsiTheme="minorHAnsi"/>
          <w:sz w:val="22"/>
          <w:szCs w:val="22"/>
        </w:rPr>
        <w:t>”</w:t>
      </w:r>
      <w:r w:rsidRPr="00135F29">
        <w:rPr>
          <w:rFonts w:asciiTheme="minorHAnsi" w:hAnsiTheme="minorHAnsi"/>
          <w:sz w:val="22"/>
          <w:szCs w:val="22"/>
        </w:rPr>
        <w:t xml:space="preserve">.  The obvious differences in appearance between young and aged rats, as well as the obvious presence or absence of the laser light used for optogenetic inactivation, </w:t>
      </w:r>
      <w:r w:rsidR="00DD0AE2">
        <w:rPr>
          <w:rFonts w:asciiTheme="minorHAnsi" w:hAnsiTheme="minorHAnsi"/>
          <w:sz w:val="22"/>
          <w:szCs w:val="22"/>
        </w:rPr>
        <w:t>made</w:t>
      </w:r>
      <w:r w:rsidRPr="00135F29">
        <w:rPr>
          <w:rFonts w:asciiTheme="minorHAnsi" w:hAnsiTheme="minorHAnsi"/>
          <w:sz w:val="22"/>
          <w:szCs w:val="22"/>
        </w:rPr>
        <w:t xml:space="preserve"> it impossible to</w:t>
      </w:r>
      <w:r>
        <w:rPr>
          <w:rFonts w:asciiTheme="minorHAnsi" w:hAnsiTheme="minorHAnsi"/>
          <w:sz w:val="22"/>
          <w:szCs w:val="22"/>
        </w:rPr>
        <w:t xml:space="preserve"> mask these conditions during data collection. Histological analyses and decisions on inclusion/exclusion of rats based on viral expression </w:t>
      </w:r>
      <w:r w:rsidRPr="00135F29">
        <w:rPr>
          <w:rFonts w:asciiTheme="minorHAnsi" w:hAnsiTheme="minorHAnsi"/>
          <w:sz w:val="22"/>
          <w:szCs w:val="22"/>
        </w:rPr>
        <w:t>and cannula placements were conducted masked to the rats’ behavioral performance (this latter point is described in the Methods, Vector Expression and Cannula Placement Histology)</w:t>
      </w: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68D53ADA" w14:textId="0E7F5C8C" w:rsidR="00CA7F22" w:rsidRPr="00505C51" w:rsidRDefault="00CA7F22" w:rsidP="00CA7F22">
      <w:pPr>
        <w:framePr w:w="7817" w:h="1088" w:hSpace="180" w:wrap="around" w:vAnchor="text" w:hAnchor="page" w:x="1741" w:y="17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raw data that are depicted in summary form in Figures 4-8 and that were used for statistical analyses </w:t>
      </w:r>
      <w:r w:rsidR="00C64C92">
        <w:rPr>
          <w:rFonts w:asciiTheme="minorHAnsi" w:hAnsiTheme="minorHAnsi"/>
          <w:sz w:val="22"/>
          <w:szCs w:val="22"/>
        </w:rPr>
        <w:t>are provided in source data files corresponding to each Figure. The source data for the electrophysiological data analyses are also provided.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9E0B21" w14:textId="77777777" w:rsidR="0076170A" w:rsidRDefault="0076170A" w:rsidP="004215FE">
      <w:r>
        <w:separator/>
      </w:r>
    </w:p>
  </w:endnote>
  <w:endnote w:type="continuationSeparator" w:id="0">
    <w:p w14:paraId="00C254D5" w14:textId="77777777" w:rsidR="0076170A" w:rsidRDefault="0076170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55B34495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5251E2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780EA8" w14:textId="77777777" w:rsidR="0076170A" w:rsidRDefault="0076170A" w:rsidP="004215FE">
      <w:r>
        <w:separator/>
      </w:r>
    </w:p>
  </w:footnote>
  <w:footnote w:type="continuationSeparator" w:id="0">
    <w:p w14:paraId="3CAD4B8C" w14:textId="77777777" w:rsidR="0076170A" w:rsidRDefault="0076170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376AC8"/>
    <w:multiLevelType w:val="hybridMultilevel"/>
    <w:tmpl w:val="8B32A830"/>
    <w:lvl w:ilvl="0" w:tplc="51467BFA">
      <w:numFmt w:val="bullet"/>
      <w:lvlText w:val="-"/>
      <w:lvlJc w:val="left"/>
      <w:pPr>
        <w:ind w:left="420" w:hanging="360"/>
      </w:pPr>
      <w:rPr>
        <w:rFonts w:ascii="Calibri" w:eastAsia="MS Minngs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35F29"/>
    <w:rsid w:val="00146DE9"/>
    <w:rsid w:val="0015519A"/>
    <w:rsid w:val="001618D5"/>
    <w:rsid w:val="00175192"/>
    <w:rsid w:val="001925AF"/>
    <w:rsid w:val="001A280C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E6D9F"/>
    <w:rsid w:val="003F19A6"/>
    <w:rsid w:val="00402ADD"/>
    <w:rsid w:val="00406FF4"/>
    <w:rsid w:val="0041682E"/>
    <w:rsid w:val="004215FE"/>
    <w:rsid w:val="004242DB"/>
    <w:rsid w:val="00426FD0"/>
    <w:rsid w:val="004273C9"/>
    <w:rsid w:val="00441726"/>
    <w:rsid w:val="004505C5"/>
    <w:rsid w:val="00451B01"/>
    <w:rsid w:val="00455849"/>
    <w:rsid w:val="00471732"/>
    <w:rsid w:val="004A2FD7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51E2"/>
    <w:rsid w:val="0053000A"/>
    <w:rsid w:val="00550F13"/>
    <w:rsid w:val="005530AE"/>
    <w:rsid w:val="00555F44"/>
    <w:rsid w:val="00566103"/>
    <w:rsid w:val="005B0A15"/>
    <w:rsid w:val="00605A12"/>
    <w:rsid w:val="00634AC7"/>
    <w:rsid w:val="0063767D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170A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E1EF7"/>
    <w:rsid w:val="00912B0B"/>
    <w:rsid w:val="009205E9"/>
    <w:rsid w:val="0092438C"/>
    <w:rsid w:val="00941D04"/>
    <w:rsid w:val="00963CEF"/>
    <w:rsid w:val="00971F27"/>
    <w:rsid w:val="00981D93"/>
    <w:rsid w:val="00993065"/>
    <w:rsid w:val="009A0661"/>
    <w:rsid w:val="009D0D28"/>
    <w:rsid w:val="009E326A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440D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64C92"/>
    <w:rsid w:val="00C820B0"/>
    <w:rsid w:val="00C8323A"/>
    <w:rsid w:val="00CA6C3F"/>
    <w:rsid w:val="00CA7F22"/>
    <w:rsid w:val="00CC6EF3"/>
    <w:rsid w:val="00CD6AEC"/>
    <w:rsid w:val="00CE6849"/>
    <w:rsid w:val="00CF4BBE"/>
    <w:rsid w:val="00CF6CB5"/>
    <w:rsid w:val="00D10224"/>
    <w:rsid w:val="00D15120"/>
    <w:rsid w:val="00D44612"/>
    <w:rsid w:val="00D50299"/>
    <w:rsid w:val="00D74320"/>
    <w:rsid w:val="00D779BF"/>
    <w:rsid w:val="00D83D45"/>
    <w:rsid w:val="00D87209"/>
    <w:rsid w:val="00D93937"/>
    <w:rsid w:val="00DD0AE2"/>
    <w:rsid w:val="00DE207A"/>
    <w:rsid w:val="00DE2719"/>
    <w:rsid w:val="00DF1913"/>
    <w:rsid w:val="00E007B4"/>
    <w:rsid w:val="00E15B5C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C457D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9C467FC-3BA9-4B72-9A25-13704A03D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4785EF7-0818-4425-8FC7-E1A06B296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1038</Words>
  <Characters>5921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6946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Setlow,Barry</cp:lastModifiedBy>
  <cp:revision>2</cp:revision>
  <dcterms:created xsi:type="dcterms:W3CDTF">2019-04-21T19:22:00Z</dcterms:created>
  <dcterms:modified xsi:type="dcterms:W3CDTF">2019-04-21T19:22:00Z</dcterms:modified>
</cp:coreProperties>
</file>