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page" w:tblpX="1909" w:tblpY="4681"/>
        <w:tblW w:w="8658" w:type="dxa"/>
        <w:tblLook w:val="04A0" w:firstRow="1" w:lastRow="0" w:firstColumn="1" w:lastColumn="0" w:noHBand="0" w:noVBand="1"/>
      </w:tblPr>
      <w:tblGrid>
        <w:gridCol w:w="1804"/>
        <w:gridCol w:w="1606"/>
        <w:gridCol w:w="2188"/>
        <w:gridCol w:w="3060"/>
      </w:tblGrid>
      <w:tr w:rsidR="00BF74C5" w14:paraId="248CACEF" w14:textId="77777777" w:rsidTr="00BF74C5">
        <w:tc>
          <w:tcPr>
            <w:tcW w:w="1804" w:type="dxa"/>
          </w:tcPr>
          <w:p w14:paraId="42BA6238" w14:textId="77777777" w:rsidR="00BF74C5" w:rsidRPr="00867C25" w:rsidRDefault="00BF74C5" w:rsidP="00BF74C5">
            <w:pPr>
              <w:rPr>
                <w:rFonts w:ascii="Arial" w:hAnsi="Arial" w:cs="Arial"/>
                <w:b/>
              </w:rPr>
            </w:pPr>
            <w:bookmarkStart w:id="0" w:name="_GoBack"/>
            <w:bookmarkEnd w:id="0"/>
            <w:r>
              <w:rPr>
                <w:rFonts w:ascii="Arial" w:hAnsi="Arial" w:cs="Arial"/>
                <w:b/>
              </w:rPr>
              <w:t>Function</w:t>
            </w:r>
          </w:p>
        </w:tc>
        <w:tc>
          <w:tcPr>
            <w:tcW w:w="1606" w:type="dxa"/>
          </w:tcPr>
          <w:p w14:paraId="0356C36F" w14:textId="77777777" w:rsidR="00BF74C5" w:rsidRPr="00867C25" w:rsidRDefault="00BF74C5" w:rsidP="00BF74C5">
            <w:pPr>
              <w:rPr>
                <w:rFonts w:ascii="Arial" w:hAnsi="Arial" w:cs="Arial"/>
                <w:b/>
              </w:rPr>
            </w:pPr>
            <w:r w:rsidRPr="00867C25">
              <w:rPr>
                <w:rFonts w:ascii="Arial" w:hAnsi="Arial" w:cs="Arial"/>
                <w:b/>
              </w:rPr>
              <w:softHyphen/>
            </w:r>
            <w:r>
              <w:rPr>
                <w:rFonts w:ascii="Arial" w:hAnsi="Arial" w:cs="Arial"/>
                <w:b/>
              </w:rPr>
              <w:t>Gene</w:t>
            </w:r>
          </w:p>
        </w:tc>
        <w:tc>
          <w:tcPr>
            <w:tcW w:w="2188" w:type="dxa"/>
          </w:tcPr>
          <w:p w14:paraId="32941892" w14:textId="77777777" w:rsidR="00BF74C5" w:rsidRDefault="00BF74C5" w:rsidP="00BF74C5">
            <w:pPr>
              <w:rPr>
                <w:rFonts w:ascii="Arial" w:hAnsi="Arial" w:cs="Arial"/>
                <w:b/>
              </w:rPr>
            </w:pPr>
            <w:r>
              <w:rPr>
                <w:rFonts w:ascii="Arial" w:hAnsi="Arial" w:cs="Arial"/>
                <w:b/>
              </w:rPr>
              <w:t>NPC Strain</w:t>
            </w:r>
          </w:p>
          <w:p w14:paraId="767F690F" w14:textId="77777777" w:rsidR="00BF74C5" w:rsidRPr="00867C25" w:rsidRDefault="00BF74C5" w:rsidP="00BF74C5">
            <w:pPr>
              <w:rPr>
                <w:rFonts w:ascii="Arial" w:hAnsi="Arial" w:cs="Arial"/>
                <w:b/>
              </w:rPr>
            </w:pPr>
            <w:r>
              <w:rPr>
                <w:rFonts w:ascii="Arial" w:hAnsi="Arial" w:cs="Arial"/>
                <w:b/>
              </w:rPr>
              <w:t>(Nup170-GFP)</w:t>
            </w:r>
          </w:p>
        </w:tc>
        <w:tc>
          <w:tcPr>
            <w:tcW w:w="3060" w:type="dxa"/>
          </w:tcPr>
          <w:p w14:paraId="10EE645B" w14:textId="77777777" w:rsidR="00BF74C5" w:rsidRDefault="00BF74C5" w:rsidP="00BF74C5">
            <w:pPr>
              <w:rPr>
                <w:rFonts w:ascii="Arial" w:hAnsi="Arial" w:cs="Arial"/>
                <w:b/>
              </w:rPr>
            </w:pPr>
            <w:r>
              <w:rPr>
                <w:rFonts w:ascii="Arial" w:hAnsi="Arial" w:cs="Arial"/>
                <w:b/>
              </w:rPr>
              <w:t>Protein Aggregate strain (Hsp104-mCherry)</w:t>
            </w:r>
          </w:p>
        </w:tc>
      </w:tr>
      <w:tr w:rsidR="00BF74C5" w14:paraId="3FB8CED8" w14:textId="77777777" w:rsidTr="00BF74C5">
        <w:tc>
          <w:tcPr>
            <w:tcW w:w="1804" w:type="dxa"/>
            <w:vMerge w:val="restart"/>
          </w:tcPr>
          <w:p w14:paraId="43D3174E" w14:textId="77777777" w:rsidR="00BF74C5" w:rsidRPr="001A367F" w:rsidRDefault="00BF74C5" w:rsidP="00BF74C5">
            <w:pPr>
              <w:rPr>
                <w:rFonts w:ascii="Arial" w:eastAsiaTheme="majorEastAsia" w:hAnsi="Arial" w:cs="Arial"/>
                <w:b/>
                <w:bCs/>
                <w:i/>
                <w:iCs/>
                <w:color w:val="404040" w:themeColor="text1" w:themeTint="BF"/>
                <w:sz w:val="20"/>
                <w:szCs w:val="20"/>
              </w:rPr>
            </w:pPr>
            <w:r>
              <w:rPr>
                <w:rFonts w:ascii="Arial" w:hAnsi="Arial" w:cs="Arial"/>
              </w:rPr>
              <w:t>Leading edge</w:t>
            </w:r>
          </w:p>
        </w:tc>
        <w:tc>
          <w:tcPr>
            <w:tcW w:w="1606" w:type="dxa"/>
          </w:tcPr>
          <w:p w14:paraId="1431D3F2" w14:textId="77777777" w:rsidR="00BF74C5" w:rsidRPr="00867C25" w:rsidRDefault="00BF74C5" w:rsidP="00BF74C5">
            <w:pPr>
              <w:rPr>
                <w:rFonts w:ascii="Arial" w:hAnsi="Arial" w:cs="Arial"/>
              </w:rPr>
            </w:pPr>
            <w:r w:rsidRPr="00867C25">
              <w:rPr>
                <w:rFonts w:ascii="Arial" w:hAnsi="Arial" w:cs="Arial"/>
                <w:i/>
              </w:rPr>
              <w:t>ady3Δ</w:t>
            </w:r>
          </w:p>
        </w:tc>
        <w:tc>
          <w:tcPr>
            <w:tcW w:w="2188" w:type="dxa"/>
          </w:tcPr>
          <w:p w14:paraId="569C9EC3" w14:textId="77777777" w:rsidR="00BF74C5" w:rsidRPr="00867C25" w:rsidRDefault="00BF74C5" w:rsidP="00BF74C5">
            <w:pPr>
              <w:rPr>
                <w:rFonts w:ascii="Arial" w:hAnsi="Arial" w:cs="Arial"/>
              </w:rPr>
            </w:pPr>
            <w:r w:rsidRPr="00867C25">
              <w:rPr>
                <w:rFonts w:ascii="Arial" w:hAnsi="Arial" w:cs="Arial"/>
              </w:rPr>
              <w:t>UB12414</w:t>
            </w:r>
            <w:r w:rsidRPr="00867C25">
              <w:rPr>
                <w:rFonts w:ascii="Arial" w:hAnsi="Arial" w:cs="Arial"/>
                <w:i/>
              </w:rPr>
              <w:t xml:space="preserve"> </w:t>
            </w:r>
          </w:p>
        </w:tc>
        <w:tc>
          <w:tcPr>
            <w:tcW w:w="3060" w:type="dxa"/>
          </w:tcPr>
          <w:p w14:paraId="5183935A" w14:textId="77777777" w:rsidR="00BF74C5" w:rsidRPr="00867C25" w:rsidRDefault="00BF74C5" w:rsidP="00BF74C5">
            <w:pPr>
              <w:rPr>
                <w:rFonts w:ascii="Arial" w:hAnsi="Arial" w:cs="Arial"/>
              </w:rPr>
            </w:pPr>
            <w:r>
              <w:rPr>
                <w:rFonts w:ascii="Arial" w:hAnsi="Arial" w:cs="Arial"/>
              </w:rPr>
              <w:t>UB19758</w:t>
            </w:r>
          </w:p>
        </w:tc>
      </w:tr>
      <w:tr w:rsidR="00BF74C5" w14:paraId="76F86839" w14:textId="77777777" w:rsidTr="00BF74C5">
        <w:tc>
          <w:tcPr>
            <w:tcW w:w="1804" w:type="dxa"/>
            <w:vMerge/>
          </w:tcPr>
          <w:p w14:paraId="2FE40492" w14:textId="77777777" w:rsidR="00BF74C5" w:rsidRPr="00867C25" w:rsidRDefault="00BF74C5" w:rsidP="00BF74C5">
            <w:pPr>
              <w:rPr>
                <w:rFonts w:ascii="Arial" w:hAnsi="Arial" w:cs="Arial"/>
              </w:rPr>
            </w:pPr>
          </w:p>
        </w:tc>
        <w:tc>
          <w:tcPr>
            <w:tcW w:w="1606" w:type="dxa"/>
          </w:tcPr>
          <w:p w14:paraId="59900F2F" w14:textId="77777777" w:rsidR="00BF74C5" w:rsidRPr="00867C25" w:rsidRDefault="00BF74C5" w:rsidP="00BF74C5">
            <w:pPr>
              <w:rPr>
                <w:rFonts w:ascii="Arial" w:hAnsi="Arial" w:cs="Arial"/>
              </w:rPr>
            </w:pPr>
            <w:r w:rsidRPr="00867C25">
              <w:rPr>
                <w:rFonts w:ascii="Arial" w:hAnsi="Arial" w:cs="Arial"/>
                <w:i/>
              </w:rPr>
              <w:t>don1Δ</w:t>
            </w:r>
          </w:p>
        </w:tc>
        <w:tc>
          <w:tcPr>
            <w:tcW w:w="2188" w:type="dxa"/>
          </w:tcPr>
          <w:p w14:paraId="06A3561E" w14:textId="77777777" w:rsidR="00BF74C5" w:rsidRPr="00867C25" w:rsidRDefault="00BF74C5" w:rsidP="00BF74C5">
            <w:pPr>
              <w:rPr>
                <w:rFonts w:ascii="Arial" w:hAnsi="Arial" w:cs="Arial"/>
              </w:rPr>
            </w:pPr>
            <w:r w:rsidRPr="00867C25">
              <w:rPr>
                <w:rFonts w:ascii="Arial" w:hAnsi="Arial" w:cs="Arial"/>
              </w:rPr>
              <w:t>UB12461</w:t>
            </w:r>
          </w:p>
        </w:tc>
        <w:tc>
          <w:tcPr>
            <w:tcW w:w="3060" w:type="dxa"/>
          </w:tcPr>
          <w:p w14:paraId="432B80C9" w14:textId="77777777" w:rsidR="00BF74C5" w:rsidRPr="00867C25" w:rsidRDefault="00BF74C5" w:rsidP="00BF74C5">
            <w:pPr>
              <w:rPr>
                <w:rFonts w:ascii="Arial" w:hAnsi="Arial" w:cs="Arial"/>
              </w:rPr>
            </w:pPr>
            <w:r>
              <w:rPr>
                <w:rFonts w:ascii="Arial" w:hAnsi="Arial" w:cs="Arial"/>
              </w:rPr>
              <w:t>UB19756</w:t>
            </w:r>
          </w:p>
        </w:tc>
      </w:tr>
      <w:tr w:rsidR="00BF74C5" w14:paraId="32FF6373" w14:textId="77777777" w:rsidTr="00BF74C5">
        <w:tc>
          <w:tcPr>
            <w:tcW w:w="1804" w:type="dxa"/>
            <w:vMerge/>
          </w:tcPr>
          <w:p w14:paraId="32C33E4E" w14:textId="77777777" w:rsidR="00BF74C5" w:rsidRPr="00867C25" w:rsidRDefault="00BF74C5" w:rsidP="00BF74C5">
            <w:pPr>
              <w:rPr>
                <w:rFonts w:ascii="Arial" w:hAnsi="Arial" w:cs="Arial"/>
              </w:rPr>
            </w:pPr>
          </w:p>
        </w:tc>
        <w:tc>
          <w:tcPr>
            <w:tcW w:w="1606" w:type="dxa"/>
          </w:tcPr>
          <w:p w14:paraId="073A09E3" w14:textId="77777777" w:rsidR="00BF74C5" w:rsidRPr="00867C25" w:rsidRDefault="00BF74C5" w:rsidP="00BF74C5">
            <w:pPr>
              <w:rPr>
                <w:rFonts w:ascii="Arial" w:hAnsi="Arial" w:cs="Arial"/>
                <w:i/>
              </w:rPr>
            </w:pPr>
            <w:r w:rsidRPr="00867C25">
              <w:rPr>
                <w:rFonts w:ascii="Arial" w:hAnsi="Arial" w:cs="Arial"/>
                <w:i/>
              </w:rPr>
              <w:t>irc10Δ</w:t>
            </w:r>
          </w:p>
        </w:tc>
        <w:tc>
          <w:tcPr>
            <w:tcW w:w="2188" w:type="dxa"/>
          </w:tcPr>
          <w:p w14:paraId="5899EAE2" w14:textId="77777777" w:rsidR="00BF74C5" w:rsidRPr="00867C25" w:rsidRDefault="00BF74C5" w:rsidP="00BF74C5">
            <w:pPr>
              <w:rPr>
                <w:rFonts w:ascii="Arial" w:hAnsi="Arial" w:cs="Arial"/>
                <w:i/>
              </w:rPr>
            </w:pPr>
            <w:r w:rsidRPr="00867C25">
              <w:rPr>
                <w:rFonts w:ascii="Arial" w:hAnsi="Arial" w:cs="Arial"/>
              </w:rPr>
              <w:t>UB12463</w:t>
            </w:r>
          </w:p>
        </w:tc>
        <w:tc>
          <w:tcPr>
            <w:tcW w:w="3060" w:type="dxa"/>
          </w:tcPr>
          <w:p w14:paraId="23D4BA64" w14:textId="77777777" w:rsidR="00BF74C5" w:rsidRPr="00867C25" w:rsidRDefault="00BF74C5" w:rsidP="00BF74C5">
            <w:pPr>
              <w:rPr>
                <w:rFonts w:ascii="Arial" w:hAnsi="Arial" w:cs="Arial"/>
              </w:rPr>
            </w:pPr>
            <w:r>
              <w:rPr>
                <w:rFonts w:ascii="Arial" w:hAnsi="Arial" w:cs="Arial"/>
              </w:rPr>
              <w:t>UB19762</w:t>
            </w:r>
          </w:p>
        </w:tc>
      </w:tr>
      <w:tr w:rsidR="00BF74C5" w14:paraId="0B5E81B6" w14:textId="77777777" w:rsidTr="00BF74C5">
        <w:tc>
          <w:tcPr>
            <w:tcW w:w="1804" w:type="dxa"/>
            <w:vMerge w:val="restart"/>
          </w:tcPr>
          <w:p w14:paraId="0A96F372" w14:textId="77777777" w:rsidR="00BF74C5" w:rsidRPr="00867C25" w:rsidRDefault="00BF74C5" w:rsidP="00BF74C5">
            <w:pPr>
              <w:rPr>
                <w:rFonts w:ascii="Arial" w:hAnsi="Arial" w:cs="Arial"/>
              </w:rPr>
            </w:pPr>
            <w:r>
              <w:rPr>
                <w:rFonts w:ascii="Arial" w:hAnsi="Arial" w:cs="Arial"/>
              </w:rPr>
              <w:t>Meiotic septins</w:t>
            </w:r>
          </w:p>
        </w:tc>
        <w:tc>
          <w:tcPr>
            <w:tcW w:w="1606" w:type="dxa"/>
          </w:tcPr>
          <w:p w14:paraId="5C060686" w14:textId="77777777" w:rsidR="00BF74C5" w:rsidRPr="00867C25" w:rsidRDefault="00BF74C5" w:rsidP="00BF74C5">
            <w:pPr>
              <w:rPr>
                <w:rFonts w:ascii="Arial" w:hAnsi="Arial" w:cs="Arial"/>
                <w:i/>
              </w:rPr>
            </w:pPr>
            <w:r w:rsidRPr="00867C25">
              <w:rPr>
                <w:rFonts w:ascii="Arial" w:hAnsi="Arial" w:cs="Arial"/>
                <w:i/>
              </w:rPr>
              <w:t>spr3Δ</w:t>
            </w:r>
          </w:p>
        </w:tc>
        <w:tc>
          <w:tcPr>
            <w:tcW w:w="2188" w:type="dxa"/>
          </w:tcPr>
          <w:p w14:paraId="6E351FAA" w14:textId="77777777" w:rsidR="00BF74C5" w:rsidRPr="00867C25" w:rsidRDefault="00BF74C5" w:rsidP="00BF74C5">
            <w:pPr>
              <w:rPr>
                <w:rFonts w:ascii="Arial" w:hAnsi="Arial" w:cs="Arial"/>
                <w:i/>
              </w:rPr>
            </w:pPr>
            <w:r w:rsidRPr="00867C25">
              <w:rPr>
                <w:rFonts w:ascii="Arial" w:hAnsi="Arial" w:cs="Arial"/>
              </w:rPr>
              <w:t>UB15307</w:t>
            </w:r>
          </w:p>
        </w:tc>
        <w:tc>
          <w:tcPr>
            <w:tcW w:w="3060" w:type="dxa"/>
          </w:tcPr>
          <w:p w14:paraId="070CA68F" w14:textId="77777777" w:rsidR="00BF74C5" w:rsidRPr="00867C25" w:rsidRDefault="00BF74C5" w:rsidP="00BF74C5">
            <w:pPr>
              <w:rPr>
                <w:rFonts w:ascii="Arial" w:hAnsi="Arial" w:cs="Arial"/>
              </w:rPr>
            </w:pPr>
            <w:r>
              <w:rPr>
                <w:rFonts w:ascii="Arial" w:hAnsi="Arial" w:cs="Arial"/>
              </w:rPr>
              <w:t>UB19752</w:t>
            </w:r>
          </w:p>
        </w:tc>
      </w:tr>
      <w:tr w:rsidR="00BF74C5" w14:paraId="282AEE2A" w14:textId="77777777" w:rsidTr="00BF74C5">
        <w:tc>
          <w:tcPr>
            <w:tcW w:w="1804" w:type="dxa"/>
            <w:vMerge/>
          </w:tcPr>
          <w:p w14:paraId="43A2DAB7" w14:textId="77777777" w:rsidR="00BF74C5" w:rsidRPr="00867C25" w:rsidRDefault="00BF74C5" w:rsidP="00BF74C5">
            <w:pPr>
              <w:rPr>
                <w:rFonts w:ascii="Arial" w:hAnsi="Arial" w:cs="Arial"/>
              </w:rPr>
            </w:pPr>
          </w:p>
        </w:tc>
        <w:tc>
          <w:tcPr>
            <w:tcW w:w="1606" w:type="dxa"/>
          </w:tcPr>
          <w:p w14:paraId="59AD6FC7" w14:textId="77777777" w:rsidR="00BF74C5" w:rsidRPr="00867C25" w:rsidRDefault="00BF74C5" w:rsidP="00BF74C5">
            <w:pPr>
              <w:rPr>
                <w:rFonts w:ascii="Arial" w:hAnsi="Arial" w:cs="Arial"/>
                <w:i/>
              </w:rPr>
            </w:pPr>
            <w:r w:rsidRPr="00867C25">
              <w:rPr>
                <w:rFonts w:ascii="Arial" w:hAnsi="Arial" w:cs="Arial"/>
                <w:i/>
              </w:rPr>
              <w:t>spr28Δ</w:t>
            </w:r>
          </w:p>
        </w:tc>
        <w:tc>
          <w:tcPr>
            <w:tcW w:w="2188" w:type="dxa"/>
          </w:tcPr>
          <w:p w14:paraId="6DA60234" w14:textId="77777777" w:rsidR="00BF74C5" w:rsidRPr="00867C25" w:rsidRDefault="00BF74C5" w:rsidP="00BF74C5">
            <w:pPr>
              <w:rPr>
                <w:rFonts w:ascii="Arial" w:hAnsi="Arial" w:cs="Arial"/>
                <w:i/>
              </w:rPr>
            </w:pPr>
            <w:r w:rsidRPr="00867C25">
              <w:rPr>
                <w:rFonts w:ascii="Arial" w:hAnsi="Arial" w:cs="Arial"/>
              </w:rPr>
              <w:t>UB15426</w:t>
            </w:r>
          </w:p>
        </w:tc>
        <w:tc>
          <w:tcPr>
            <w:tcW w:w="3060" w:type="dxa"/>
          </w:tcPr>
          <w:p w14:paraId="14AF67B9" w14:textId="77777777" w:rsidR="00BF74C5" w:rsidRPr="00867C25" w:rsidRDefault="00BF74C5" w:rsidP="00BF74C5">
            <w:pPr>
              <w:rPr>
                <w:rFonts w:ascii="Arial" w:hAnsi="Arial" w:cs="Arial"/>
              </w:rPr>
            </w:pPr>
            <w:r>
              <w:rPr>
                <w:rFonts w:ascii="Arial" w:hAnsi="Arial" w:cs="Arial"/>
              </w:rPr>
              <w:t>UB19754</w:t>
            </w:r>
          </w:p>
        </w:tc>
      </w:tr>
      <w:tr w:rsidR="00BF74C5" w14:paraId="63328E06" w14:textId="77777777" w:rsidTr="00BF74C5">
        <w:tc>
          <w:tcPr>
            <w:tcW w:w="1804" w:type="dxa"/>
            <w:vMerge/>
          </w:tcPr>
          <w:p w14:paraId="11FF7F74" w14:textId="77777777" w:rsidR="00BF74C5" w:rsidRPr="00867C25" w:rsidRDefault="00BF74C5" w:rsidP="00BF74C5">
            <w:pPr>
              <w:rPr>
                <w:rFonts w:ascii="Arial" w:hAnsi="Arial" w:cs="Arial"/>
              </w:rPr>
            </w:pPr>
          </w:p>
        </w:tc>
        <w:tc>
          <w:tcPr>
            <w:tcW w:w="1606" w:type="dxa"/>
          </w:tcPr>
          <w:p w14:paraId="11C92F7A" w14:textId="77777777" w:rsidR="00BF74C5" w:rsidRPr="00867C25" w:rsidRDefault="00BF74C5" w:rsidP="00BF74C5">
            <w:pPr>
              <w:rPr>
                <w:rFonts w:ascii="Arial" w:hAnsi="Arial" w:cs="Arial"/>
                <w:i/>
              </w:rPr>
            </w:pPr>
            <w:r w:rsidRPr="00867C25">
              <w:rPr>
                <w:rFonts w:ascii="Arial" w:hAnsi="Arial" w:cs="Arial"/>
                <w:i/>
              </w:rPr>
              <w:t>spr3Δspr28Δ</w:t>
            </w:r>
          </w:p>
        </w:tc>
        <w:tc>
          <w:tcPr>
            <w:tcW w:w="2188" w:type="dxa"/>
          </w:tcPr>
          <w:p w14:paraId="6E2F26D8" w14:textId="77777777" w:rsidR="00BF74C5" w:rsidRPr="00867C25" w:rsidRDefault="00BF74C5" w:rsidP="00BF74C5">
            <w:pPr>
              <w:rPr>
                <w:rFonts w:ascii="Arial" w:hAnsi="Arial" w:cs="Arial"/>
                <w:i/>
              </w:rPr>
            </w:pPr>
            <w:r w:rsidRPr="00867C25">
              <w:rPr>
                <w:rFonts w:ascii="Arial" w:hAnsi="Arial" w:cs="Arial"/>
              </w:rPr>
              <w:t>UB15428</w:t>
            </w:r>
          </w:p>
        </w:tc>
        <w:tc>
          <w:tcPr>
            <w:tcW w:w="3060" w:type="dxa"/>
          </w:tcPr>
          <w:p w14:paraId="21F23045" w14:textId="77777777" w:rsidR="00BF74C5" w:rsidRPr="00867C25" w:rsidRDefault="00BF74C5" w:rsidP="00BF74C5">
            <w:pPr>
              <w:rPr>
                <w:rFonts w:ascii="Arial" w:hAnsi="Arial" w:cs="Arial"/>
              </w:rPr>
            </w:pPr>
            <w:r>
              <w:rPr>
                <w:rFonts w:ascii="Arial" w:hAnsi="Arial" w:cs="Arial"/>
              </w:rPr>
              <w:t>UB19760</w:t>
            </w:r>
          </w:p>
        </w:tc>
      </w:tr>
    </w:tbl>
    <w:p w14:paraId="2BD7D4E0" w14:textId="77777777" w:rsidR="00BF74C5" w:rsidRPr="00BF74C5" w:rsidRDefault="006D267B" w:rsidP="00BF74C5">
      <w:pPr>
        <w:rPr>
          <w:b/>
        </w:rPr>
      </w:pPr>
      <w:r w:rsidRPr="0039577B">
        <w:rPr>
          <w:rFonts w:ascii="Arial" w:hAnsi="Arial" w:cs="Arial"/>
          <w:b/>
        </w:rPr>
        <w:t xml:space="preserve">Table S5. </w:t>
      </w:r>
      <w:r>
        <w:rPr>
          <w:rFonts w:ascii="Arial" w:hAnsi="Arial" w:cs="Arial"/>
          <w:b/>
        </w:rPr>
        <w:t>Meiotic septin and leading edge complex genes</w:t>
      </w:r>
      <w:r w:rsidRPr="0039577B">
        <w:rPr>
          <w:rFonts w:ascii="Arial" w:hAnsi="Arial" w:cs="Arial"/>
          <w:b/>
        </w:rPr>
        <w:t xml:space="preserve"> are not required for nuclear pore complex</w:t>
      </w:r>
      <w:r>
        <w:rPr>
          <w:rFonts w:ascii="Arial" w:hAnsi="Arial" w:cs="Arial"/>
          <w:b/>
        </w:rPr>
        <w:t xml:space="preserve"> or protein aggregate</w:t>
      </w:r>
      <w:r w:rsidRPr="0039577B">
        <w:rPr>
          <w:rFonts w:ascii="Arial" w:hAnsi="Arial" w:cs="Arial"/>
          <w:b/>
        </w:rPr>
        <w:t xml:space="preserve"> </w:t>
      </w:r>
      <w:r>
        <w:rPr>
          <w:rFonts w:ascii="Arial" w:hAnsi="Arial" w:cs="Arial"/>
          <w:b/>
        </w:rPr>
        <w:t>sequestration</w:t>
      </w:r>
      <w:r w:rsidRPr="00BF74C5">
        <w:rPr>
          <w:rFonts w:ascii="Arial" w:hAnsi="Arial" w:cs="Arial"/>
          <w:b/>
        </w:rPr>
        <w:t>.</w:t>
      </w:r>
      <w:r w:rsidR="008E197F" w:rsidRPr="00BF74C5">
        <w:rPr>
          <w:rFonts w:ascii="Arial" w:hAnsi="Arial" w:cs="Arial"/>
          <w:b/>
        </w:rPr>
        <w:t xml:space="preserve"> </w:t>
      </w:r>
      <w:r w:rsidR="00BF74C5" w:rsidRPr="00BF74C5">
        <w:t>Movies of strains with the indicated deletion, and either (1) a fluorescently tagged inner ring complex nucleoporin (Nup170-GFP) and a meiotic staging marker (Htb1-mCherry) or (2) a fluorescently tagged chaperone that marks age-induced protein aggregates (Hsp104-mCherry) and a gamete plasma membrane marker (yeGFP-Spo20</w:t>
      </w:r>
      <w:r w:rsidR="00BF74C5" w:rsidRPr="00BF74C5">
        <w:rPr>
          <w:vertAlign w:val="superscript"/>
        </w:rPr>
        <w:t>51-91</w:t>
      </w:r>
      <w:r w:rsidR="00BF74C5" w:rsidRPr="00BF74C5">
        <w:t>) were generated. For mutants with successful spore packaging, at least 25 tetrads were observed. For mutants with poor or unsuccessful spore packaging, at least 50 cells that proceeded through MII were observed and compared to wild type (UB11513 for Nup170-GFP; UB11821 for Hsp104-mCherry).</w:t>
      </w:r>
    </w:p>
    <w:p w14:paraId="34831162" w14:textId="77777777" w:rsidR="006D267B" w:rsidRPr="0039577B" w:rsidRDefault="006D267B" w:rsidP="006D267B">
      <w:pPr>
        <w:rPr>
          <w:rFonts w:ascii="Arial" w:hAnsi="Arial" w:cs="Arial"/>
          <w:b/>
        </w:rPr>
      </w:pPr>
    </w:p>
    <w:p w14:paraId="47C4D0E5" w14:textId="77777777" w:rsidR="00D16E04" w:rsidRDefault="00D16E04"/>
    <w:sectPr w:rsidR="00D16E04" w:rsidSect="00B3169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67B"/>
    <w:rsid w:val="006D267B"/>
    <w:rsid w:val="008E197F"/>
    <w:rsid w:val="00B31691"/>
    <w:rsid w:val="00BF74C5"/>
    <w:rsid w:val="00D16E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D288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67B"/>
    <w:rPr>
      <w:rFonts w:ascii="Helvetica" w:hAnsi="Helveti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26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67B"/>
    <w:rPr>
      <w:rFonts w:ascii="Helvetica" w:hAnsi="Helveti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26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151</Words>
  <Characters>864</Characters>
  <Application>Microsoft Macintosh Word</Application>
  <DocSecurity>0</DocSecurity>
  <Lines>7</Lines>
  <Paragraphs>2</Paragraphs>
  <ScaleCrop>false</ScaleCrop>
  <Company/>
  <LinksUpToDate>false</LinksUpToDate>
  <CharactersWithSpaces>1013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Goodman</dc:creator>
  <cp:keywords/>
  <dc:description/>
  <cp:lastModifiedBy>Grant King</cp:lastModifiedBy>
  <cp:revision>3</cp:revision>
  <dcterms:created xsi:type="dcterms:W3CDTF">2019-07-15T21:00:00Z</dcterms:created>
  <dcterms:modified xsi:type="dcterms:W3CDTF">2019-07-15T22:19:00Z</dcterms:modified>
</cp:coreProperties>
</file>