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7649" w:rsidRDefault="00907649" w:rsidP="00907649">
      <w:pPr>
        <w:rPr>
          <w:rFonts w:asciiTheme="majorBidi" w:hAnsiTheme="majorBidi" w:cstheme="majorBidi"/>
          <w:b/>
          <w:bCs/>
        </w:rPr>
      </w:pPr>
    </w:p>
    <w:p w:rsidR="00907649" w:rsidRDefault="00907649" w:rsidP="00907649">
      <w:pPr>
        <w:ind w:right="26"/>
        <w:rPr>
          <w:rFonts w:ascii="Times New Roman" w:eastAsia="Times New Roman" w:hAnsi="Times New Roman" w:cs="Times New Roman"/>
          <w:b/>
          <w:bCs/>
          <w:color w:val="000000"/>
        </w:rPr>
      </w:pPr>
      <w:r>
        <w:rPr>
          <w:rFonts w:ascii="Times New Roman" w:eastAsia="Times New Roman" w:hAnsi="Times New Roman" w:cs="Times New Roman"/>
          <w:b/>
          <w:bCs/>
          <w:color w:val="000000"/>
        </w:rPr>
        <w:t xml:space="preserve">Supplementary </w:t>
      </w:r>
      <w:r w:rsidR="00BA3086">
        <w:rPr>
          <w:rFonts w:ascii="Times New Roman" w:eastAsia="Times New Roman" w:hAnsi="Times New Roman" w:cs="Times New Roman"/>
          <w:b/>
          <w:bCs/>
          <w:color w:val="000000"/>
        </w:rPr>
        <w:t>Table</w:t>
      </w:r>
      <w:bookmarkStart w:id="0" w:name="_GoBack"/>
      <w:bookmarkEnd w:id="0"/>
      <w:r>
        <w:rPr>
          <w:rFonts w:ascii="Times New Roman" w:eastAsia="Times New Roman" w:hAnsi="Times New Roman" w:cs="Times New Roman"/>
          <w:b/>
          <w:bCs/>
          <w:color w:val="000000"/>
        </w:rPr>
        <w:t xml:space="preserve"> 3.</w:t>
      </w:r>
    </w:p>
    <w:p w:rsidR="00907649" w:rsidRDefault="00907649" w:rsidP="00907649">
      <w:pPr>
        <w:ind w:right="26"/>
        <w:rPr>
          <w:rFonts w:ascii="Times New Roman" w:eastAsia="Times New Roman" w:hAnsi="Times New Roman" w:cs="Times New Roman"/>
          <w:color w:val="000000"/>
          <w:rtl/>
        </w:rPr>
      </w:pPr>
    </w:p>
    <w:p w:rsidR="00907649" w:rsidRDefault="00907649" w:rsidP="00907649">
      <w:pPr>
        <w:outlineLvl w:val="0"/>
        <w:rPr>
          <w:rFonts w:asciiTheme="majorBidi" w:hAnsiTheme="majorBidi" w:cstheme="majorBidi"/>
          <w:b/>
        </w:rPr>
      </w:pPr>
      <w:r w:rsidRPr="00CA6BDD">
        <w:rPr>
          <w:rFonts w:asciiTheme="majorBidi" w:hAnsiTheme="majorBidi" w:cstheme="majorBidi"/>
          <w:b/>
        </w:rPr>
        <w:t xml:space="preserve">Primers for RT-qPCR and ChIP analyses </w:t>
      </w:r>
    </w:p>
    <w:p w:rsidR="00907649" w:rsidRPr="00CA6BDD" w:rsidRDefault="00907649" w:rsidP="00907649">
      <w:pPr>
        <w:outlineLvl w:val="0"/>
        <w:rPr>
          <w:rFonts w:asciiTheme="majorBidi" w:hAnsiTheme="majorBidi" w:cstheme="majorBidi"/>
          <w:b/>
        </w:rPr>
      </w:pPr>
    </w:p>
    <w:tbl>
      <w:tblPr>
        <w:tblStyle w:val="TableGrid"/>
        <w:tblW w:w="9918" w:type="dxa"/>
        <w:tblLook w:val="04A0" w:firstRow="1" w:lastRow="0" w:firstColumn="1" w:lastColumn="0" w:noHBand="0" w:noVBand="1"/>
      </w:tblPr>
      <w:tblGrid>
        <w:gridCol w:w="1838"/>
        <w:gridCol w:w="3827"/>
        <w:gridCol w:w="2127"/>
        <w:gridCol w:w="2126"/>
      </w:tblGrid>
      <w:tr w:rsidR="00907649" w:rsidRPr="00DE5653" w:rsidTr="00E12C22">
        <w:trPr>
          <w:trHeight w:val="257"/>
        </w:trPr>
        <w:tc>
          <w:tcPr>
            <w:tcW w:w="1838" w:type="dxa"/>
          </w:tcPr>
          <w:p w:rsidR="00907649" w:rsidRDefault="00907649" w:rsidP="00E12C22">
            <w:pPr>
              <w:rPr>
                <w:rFonts w:asciiTheme="majorBidi" w:hAnsiTheme="majorBidi" w:cstheme="majorBidi"/>
                <w:b/>
                <w:bCs/>
                <w:sz w:val="18"/>
                <w:szCs w:val="18"/>
              </w:rPr>
            </w:pPr>
            <w:r w:rsidRPr="00DE5653">
              <w:rPr>
                <w:rFonts w:asciiTheme="majorBidi" w:hAnsiTheme="majorBidi" w:cstheme="majorBidi"/>
                <w:b/>
                <w:bCs/>
                <w:sz w:val="18"/>
                <w:szCs w:val="18"/>
              </w:rPr>
              <w:t xml:space="preserve">Referred to in </w:t>
            </w:r>
          </w:p>
          <w:p w:rsidR="00907649" w:rsidRPr="00DE5653" w:rsidRDefault="00907649" w:rsidP="00E12C22">
            <w:pPr>
              <w:rPr>
                <w:rFonts w:asciiTheme="majorBidi" w:hAnsiTheme="majorBidi" w:cstheme="majorBidi"/>
                <w:bCs/>
                <w:sz w:val="18"/>
                <w:szCs w:val="18"/>
              </w:rPr>
            </w:pPr>
            <w:r w:rsidRPr="00DE5653">
              <w:rPr>
                <w:rFonts w:asciiTheme="majorBidi" w:hAnsiTheme="majorBidi" w:cstheme="majorBidi"/>
                <w:b/>
                <w:bCs/>
                <w:sz w:val="18"/>
                <w:szCs w:val="18"/>
              </w:rPr>
              <w:t>this paper as</w:t>
            </w:r>
            <w:r>
              <w:rPr>
                <w:rFonts w:asciiTheme="majorBidi" w:hAnsiTheme="majorBidi" w:cstheme="majorBidi"/>
                <w:b/>
                <w:bCs/>
                <w:sz w:val="18"/>
                <w:szCs w:val="18"/>
              </w:rPr>
              <w:t>:</w:t>
            </w:r>
          </w:p>
        </w:tc>
        <w:tc>
          <w:tcPr>
            <w:tcW w:w="3827" w:type="dxa"/>
          </w:tcPr>
          <w:p w:rsidR="00907649" w:rsidRPr="00DE5653" w:rsidRDefault="00907649" w:rsidP="00E12C22">
            <w:pPr>
              <w:jc w:val="center"/>
              <w:rPr>
                <w:rFonts w:asciiTheme="majorBidi" w:hAnsiTheme="majorBidi" w:cstheme="majorBidi"/>
                <w:bCs/>
                <w:sz w:val="18"/>
                <w:szCs w:val="18"/>
              </w:rPr>
            </w:pPr>
            <w:r w:rsidRPr="00DE5653">
              <w:rPr>
                <w:rFonts w:asciiTheme="majorBidi" w:hAnsiTheme="majorBidi" w:cstheme="majorBidi"/>
                <w:b/>
                <w:bCs/>
                <w:sz w:val="18"/>
                <w:szCs w:val="18"/>
              </w:rPr>
              <w:t>Primer sequence</w:t>
            </w:r>
          </w:p>
        </w:tc>
        <w:tc>
          <w:tcPr>
            <w:tcW w:w="2127" w:type="dxa"/>
          </w:tcPr>
          <w:p w:rsidR="00907649" w:rsidRPr="00DE5653" w:rsidRDefault="00907649" w:rsidP="00E12C22">
            <w:pPr>
              <w:jc w:val="center"/>
              <w:rPr>
                <w:rFonts w:asciiTheme="majorBidi" w:hAnsiTheme="majorBidi" w:cstheme="majorBidi"/>
                <w:bCs/>
                <w:sz w:val="18"/>
                <w:szCs w:val="18"/>
              </w:rPr>
            </w:pPr>
            <w:r w:rsidRPr="00DE5653">
              <w:rPr>
                <w:rFonts w:asciiTheme="majorBidi" w:hAnsiTheme="majorBidi" w:cstheme="majorBidi"/>
                <w:b/>
                <w:bCs/>
                <w:sz w:val="18"/>
                <w:szCs w:val="18"/>
              </w:rPr>
              <w:t>Use of these primers</w:t>
            </w:r>
          </w:p>
        </w:tc>
        <w:tc>
          <w:tcPr>
            <w:tcW w:w="2126" w:type="dxa"/>
          </w:tcPr>
          <w:p w:rsidR="00907649" w:rsidRPr="00DE5653" w:rsidRDefault="00907649" w:rsidP="00E12C22">
            <w:pPr>
              <w:jc w:val="center"/>
              <w:rPr>
                <w:rFonts w:asciiTheme="majorBidi" w:hAnsiTheme="majorBidi" w:cstheme="majorBidi"/>
                <w:b/>
                <w:bCs/>
                <w:sz w:val="18"/>
                <w:szCs w:val="18"/>
              </w:rPr>
            </w:pPr>
            <w:r w:rsidRPr="00DE5653">
              <w:rPr>
                <w:rFonts w:asciiTheme="majorBidi" w:hAnsiTheme="majorBidi" w:cstheme="majorBidi"/>
                <w:b/>
                <w:bCs/>
                <w:sz w:val="18"/>
                <w:szCs w:val="18"/>
              </w:rPr>
              <w:t>Previous references</w:t>
            </w:r>
          </w:p>
        </w:tc>
      </w:tr>
      <w:tr w:rsidR="00907649" w:rsidRPr="00DE5653" w:rsidTr="00E12C22">
        <w:trPr>
          <w:trHeight w:val="195"/>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2p-P</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GTGGAACCTCAATAATCCGAAAA</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GGACACCACTGTAAGCAAGATAGC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w:t>
            </w:r>
            <w:r>
              <w:rPr>
                <w:rFonts w:asciiTheme="majorBidi" w:hAnsiTheme="majorBidi" w:cstheme="majorBidi"/>
                <w:bCs/>
                <w:sz w:val="18"/>
                <w:szCs w:val="18"/>
              </w:rPr>
              <w:t xml:space="preserve"> </w:t>
            </w:r>
          </w:p>
        </w:tc>
        <w:tc>
          <w:tcPr>
            <w:tcW w:w="2126" w:type="dxa"/>
          </w:tcPr>
          <w:p w:rsidR="00907649" w:rsidRPr="00DE5653" w:rsidRDefault="00907649" w:rsidP="00E12C22">
            <w:pPr>
              <w:jc w:val="center"/>
              <w:rPr>
                <w:rFonts w:asciiTheme="majorBidi" w:hAnsiTheme="majorBidi" w:cstheme="majorBidi"/>
                <w:bCs/>
                <w:sz w:val="18"/>
                <w:szCs w:val="18"/>
              </w:rPr>
            </w:pPr>
            <w:r w:rsidRPr="00DE5653">
              <w:rPr>
                <w:rFonts w:asciiTheme="majorBidi" w:hAnsiTheme="majorBidi" w:cstheme="majorBidi"/>
                <w:bCs/>
                <w:sz w:val="18"/>
                <w:szCs w:val="18"/>
              </w:rPr>
              <w:t>-</w:t>
            </w:r>
          </w:p>
        </w:tc>
      </w:tr>
      <w:tr w:rsidR="00907649" w:rsidRPr="00DE5653" w:rsidTr="00E12C22">
        <w:trPr>
          <w:trHeight w:val="195"/>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 xml:space="preserve">2p-D </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CGCATCGACGGTGAATAAAA</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GCCTAACTCGTGTCTGACTTTGAG</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 and RT-qPCR</w:t>
            </w:r>
          </w:p>
        </w:tc>
        <w:tc>
          <w:tcPr>
            <w:tcW w:w="2126" w:type="dxa"/>
          </w:tcPr>
          <w:p w:rsidR="00907649" w:rsidRPr="000F2E0B" w:rsidRDefault="00907649" w:rsidP="00E12C22">
            <w:pPr>
              <w:jc w:val="center"/>
              <w:rPr>
                <w:rFonts w:asciiTheme="majorBidi" w:hAnsiTheme="majorBidi" w:cstheme="majorBidi"/>
                <w:bCs/>
                <w:sz w:val="28"/>
                <w:szCs w:val="2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{"citationItems":[{"id":"ITEM-1","itemData":{"DOI":"10.1038/ncomms14015","ISBN":"2041-1723 (Electronic)\r2041-1723 (Linking)","PMID":"28117327","abstract":"DNA:RNA hybrids, nucleic acid structures with diverse physiological functions, can disrupt genome integrity when dysregulated. Human telomeres were shown to form hybrids with the lncRNA TERRA, yet the formation and distribution of these hybrids among telomeres, their regulation and their cellular effects remain elusive. Here we predict and confirm in several human cell types that DNA:RNA hybrids form at many subtelomeric and telomeric regions. We demonstrate that ICF syndrome cells, which exhibit short telomeres and elevated TERRA levels, are enriched for hybrids at telomeric regions throughout the cell cycle. Telomeric hybrids are associated with high levels of DNA damage at chromosome ends in ICF cells, which are significantly reduced with overexpression of RNase H1. Our findings suggest that abnormally high TERRA levels in ICF syndrome lead to accumulation of telomeric hybrids that, in turn, can result in telomeric dysfunction.","author":[{"dropping-particle":"","family":"Sagie","given":"S","non-dropping-particle":"","parse-names":false,"suffix":""},{"dropping-particle":"","family":"Toubiana","given":"S","non-dropping-particle":"","parse-names":false,"suffix":""},{"dropping-particle":"","family":"Hartono","given":"S R","non-dropping-particle":"","parse-names":false,"suffix":""},{"dropping-particle":"","family":"Katzir","given":"H","non-dropping-particle":"","parse-names":false,"suffix":""},{"dropping-particle":"","family":"Tzur-Gilat","given":"A","non-dropping-particle":"","parse-names":false,"suffix":""},{"dropping-particle":"","family":"Havazelet","given":"S","non-dropping-particle":"","parse-names":false,"suffix":""},{"dropping-particle":"","family":"Francastel","given":"C","non-dropping-particle":"","parse-names":false,"suffix":""},{"dropping-particle":"","family":"Velasco","given":"G","non-dropping-particle":"","parse-names":false,"suffix":""},{"dropping-particle":"","family":"Chedin","given":"F","non-dropping-particle":"","parse-names":false,"suffix":""},{"dropping-particle":"","family":"Selig","given":"S","non-dropping-particle":"","parse-names":false,"suffix":""}],"container-title":"Nat Commun","id":"ITEM-1","issued":{"date-parts":[["2017"]]},"note":"Sagie, Shira\nToubiana, Shir\nHartono, Stella R\nKatzir, Hagar\nTzur-Gilat, Aya\nHavazelet, Shany\nFrancastel, Claire\nVelasco, Guillaume\nChedin, Frederic\nSelig, Sara\neng\nR01 GM094299/GM/NIGMS NIH HHS/\nEngland\n2017/01/25 06:00\nNat Commun. 2017 Jan 24;8:14015. doi: 10.1038/ncomms14015.","page":"14015","title":"Telomeres in ICF syndrome cells are vulnerable to DNA damage due to elevated DNA:RNA hybrids","type":"article-journal","volume":"8"},"uris":["http://www.mendeley.com/documents/?uuid=af19df43-23ae-439b-a092-d2ac113f8263"]}],"mendeley":{"formattedCitation":"(Sagie, Toubiana, et al. 2017)","plainTextFormattedCitation":"(Sagie, Toubiana, et al. 2017)","previouslyFormattedCitation":"(Sagie, Toubiana, et al. 2017)"},"properties":{"noteIndex":0},"schema":"https://github.com/citation-style-language/schema/raw/master/csl-citation.json"}</w:instrText>
            </w:r>
            <w:r w:rsidRPr="00704541">
              <w:rPr>
                <w:rFonts w:asciiTheme="majorBidi" w:hAnsiTheme="majorBidi" w:cstheme="majorBidi"/>
                <w:bCs/>
                <w:sz w:val="18"/>
                <w:szCs w:val="18"/>
              </w:rPr>
              <w:fldChar w:fldCharType="separate"/>
            </w:r>
            <w:r w:rsidRPr="00A40FFB">
              <w:rPr>
                <w:rFonts w:asciiTheme="majorBidi" w:hAnsiTheme="majorBidi" w:cstheme="majorBidi"/>
                <w:bCs/>
                <w:noProof/>
                <w:sz w:val="18"/>
                <w:szCs w:val="18"/>
              </w:rPr>
              <w:t>(Sagie, Toubiana, et al. 2017)</w:t>
            </w:r>
            <w:r w:rsidRPr="00704541">
              <w:rPr>
                <w:rFonts w:asciiTheme="majorBidi" w:hAnsiTheme="majorBidi" w:cstheme="majorBidi"/>
                <w:bCs/>
                <w:sz w:val="18"/>
                <w:szCs w:val="18"/>
              </w:rPr>
              <w:fldChar w:fldCharType="end"/>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5p-P</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TGGCACAGCATCGTAGACAAG</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TGGAACCTCAGCAATCTGAAAA</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195"/>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5p-D</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GAGTGCATTAGCATACAGGT</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TCCTAATGCACACGTAACAC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 and RT-qPCR</w:t>
            </w:r>
          </w:p>
        </w:tc>
        <w:tc>
          <w:tcPr>
            <w:tcW w:w="2126" w:type="dxa"/>
          </w:tcPr>
          <w:p w:rsidR="00907649" w:rsidRPr="000F2E0B" w:rsidRDefault="00907649" w:rsidP="00E12C22">
            <w:pPr>
              <w:jc w:val="center"/>
              <w:rPr>
                <w:rFonts w:asciiTheme="majorBidi" w:hAnsiTheme="majorBidi" w:cstheme="majorBidi"/>
                <w:bCs/>
                <w:sz w:val="28"/>
                <w:szCs w:val="2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{"citationItems":[{"id":"ITEM-1","itemData":{"DOI":"10.1038/ncomms14015","ISBN":"2041-1723 (Electronic)\r2041-1723 (Linking)","PMID":"28117327","abstract":"DNA:RNA hybrids, nucleic acid structures with diverse physiological functions, can disrupt genome integrity when dysregulated. Human telomeres were shown to form hybrids with the lncRNA TERRA, yet the formation and distribution of these hybrids among telomeres, their regulation and their cellular effects remain elusive. Here we predict and confirm in several human cell types that DNA:RNA hybrids form at many subtelomeric and telomeric regions. We demonstrate that ICF syndrome cells, which exhibit short telomeres and elevated TERRA levels, are enriched for hybrids at telomeric regions throughout the cell cycle. Telomeric hybrids are associated with high levels of DNA damage at chromosome ends in ICF cells, which are significantly reduced with overexpression of RNase H1. Our findings suggest that abnormally high TERRA levels in ICF syndrome lead to accumulation of telomeric hybrids that, in turn, can result in telomeric dysfunction.","author":[{"dropping-particle":"","family":"Sagie","given":"S","non-dropping-particle":"","parse-names":false,"suffix":""},{"dropping-particle":"","family":"Toubiana","given":"S","non-dropping-particle":"","parse-names":false,"suffix":""},{"dropping-particle":"","family":"Hartono","given":"S R","non-dropping-particle":"","parse-names":false,"suffix":""},{"dropping-particle":"","family":"Katzir","given":"H","non-dropping-particle":"","parse-names":false,"suffix":""},{"dropping-particle":"","family":"Tzur-Gilat","given":"A","non-dropping-particle":"","parse-names":false,"suffix":""},{"dropping-particle":"","family":"Havazelet","given":"S","non-dropping-particle":"","parse-names":false,"suffix":""},{"dropping-particle":"","family":"Francastel","given":"C","non-dropping-particle":"","parse-names":false,"suffix":""},{"dropping-particle":"","family":"Velasco","given":"G","non-dropping-particle":"","parse-names":false,"suffix":""},{"dropping-particle":"","family":"Chedin","given":"F","non-dropping-particle":"","parse-names":false,"suffix":""},{"dropping-particle":"","family":"Selig","given":"S","non-dropping-particle":"","parse-names":false,"suffix":""}],"container-title":"Nat Commun","id":"ITEM-1","issued":{"date-parts":[["2017"]]},"note":"Sagie, Shira\nToubiana, Shir\nHartono, Stella R\nKatzir, Hagar\nTzur-Gilat, Aya\nHavazelet, Shany\nFrancastel, Claire\nVelasco, Guillaume\nChedin, Frederic\nSelig, Sara\neng\nR01 GM094299/GM/NIGMS NIH HHS/\nEngland\n2017/01/25 06:00\nNat Commun. 2017 Jan 24;8:14015. doi: 10.1038/ncomms14015.","page":"14015","title":"Telomeres in ICF syndrome cells are vulnerable to DNA damage due to elevated DNA:RNA hybrids","type":"article-journal","volume":"8"},"uris":["http://www.mendeley.com/documents/?uuid=af19df43-23ae-439b-a092-d2ac113f8263"]}],"mendeley":{"formattedCitation":"(Sagie, Toubiana, et al. 2017)","plainTextFormattedCitation":"(Sagie, Toubiana, et al. 2017)","previouslyFormattedCitation":"(Sagie, Toubiana, et al. 2017)"},"properties":{"noteIndex":0},"schema":"https://github.com/citation-style-language/schema/raw/master/csl-citation.json"}</w:instrText>
            </w:r>
            <w:r w:rsidRPr="00704541">
              <w:rPr>
                <w:rFonts w:asciiTheme="majorBidi" w:hAnsiTheme="majorBidi" w:cstheme="majorBidi"/>
                <w:bCs/>
                <w:sz w:val="18"/>
                <w:szCs w:val="18"/>
              </w:rPr>
              <w:fldChar w:fldCharType="separate"/>
            </w:r>
            <w:r w:rsidRPr="00A40FFB">
              <w:rPr>
                <w:rFonts w:asciiTheme="majorBidi" w:hAnsiTheme="majorBidi" w:cstheme="majorBidi"/>
                <w:bCs/>
                <w:noProof/>
                <w:sz w:val="18"/>
                <w:szCs w:val="18"/>
              </w:rPr>
              <w:t>(Sagie, Toubiana, et al. 2017)</w:t>
            </w:r>
            <w:r w:rsidRPr="00704541">
              <w:rPr>
                <w:rFonts w:asciiTheme="majorBidi" w:hAnsiTheme="majorBidi" w:cstheme="majorBidi"/>
                <w:bCs/>
                <w:sz w:val="18"/>
                <w:szCs w:val="18"/>
              </w:rPr>
              <w:fldChar w:fldCharType="end"/>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 xml:space="preserve">10q/13q/19q </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GGCGCTGGACACCACTGTA</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TGAGTAATCTGAAAAGCCCGTTT</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2q/10q/13q</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AACCTGAACCCTAACCCTCC</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ATTGCAGGGTTCAAGTGCAG</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 and RT-qPCR</w:t>
            </w:r>
          </w:p>
        </w:tc>
        <w:tc>
          <w:tcPr>
            <w:tcW w:w="2126" w:type="dxa"/>
          </w:tcPr>
          <w:p w:rsidR="00907649" w:rsidRPr="00704541" w:rsidRDefault="00907649" w:rsidP="00E12C22">
            <w:pPr>
              <w:jc w:val="center"/>
              <w:rPr>
                <w:rFonts w:asciiTheme="majorBidi" w:hAnsiTheme="majorBidi" w:cstheme="majorBidi"/>
                <w:bCs/>
                <w:sz w:val="18"/>
                <w:szCs w:val="1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{"citationItems":[{"id":"ITEM-1","itemData":{"DOI":"10.1038/ncomms14015","ISBN":"2041-1723 (Electronic)\r2041-1723 (Linking)","PMID":"28117327","abstract":"DNA:RNA hybrids, nucleic acid structures with diverse physiological functions, can disrupt genome integrity when dysregulated. Human telomeres were shown to form hybrids with the lncRNA TERRA, yet the formation and distribution of these hybrids among telomeres, their regulation and their cellular effects remain elusive. Here we predict and confirm in several human cell types that DNA:RNA hybrids form at many subtelomeric and telomeric regions. We demonstrate that ICF syndrome cells, which exhibit short telomeres and elevated TERRA levels, are enriched for hybrids at telomeric regions throughout the cell cycle. Telomeric hybrids are associated with high levels of DNA damage at chromosome ends in ICF cells, which are significantly reduced with overexpression of RNase H1. Our findings suggest that abnormally high TERRA levels in ICF syndrome lead to accumulation of telomeric hybrids that, in turn, can result in telomeric dysfunction.","author":[{"dropping-particle":"","family":"Sagie","given":"S","non-dropping-particle":"","parse-names":false,"suffix":""},{"dropping-particle":"","family":"Toubiana","given":"S","non-dropping-particle":"","parse-names":false,"suffix":""},{"dropping-particle":"","family":"Hartono","given":"S R","non-dropping-particle":"","parse-names":false,"suffix":""},{"dropping-particle":"","family":"Katzir","given":"H","non-dropping-particle":"","parse-names":false,"suffix":""},{"dropping-particle":"","family":"Tzur-Gilat","given":"A","non-dropping-particle":"","parse-names":false,"suffix":""},{"dropping-particle":"","family":"Havazelet","given":"S","non-dropping-particle":"","parse-names":false,"suffix":""},{"dropping-particle":"","family":"Francastel","given":"C","non-dropping-particle":"","parse-names":false,"suffix":""},{"dropping-particle":"","family":"Velasco","given":"G","non-dropping-particle":"","parse-names":false,"suffix":""},{"dropping-particle":"","family":"Chedin","given":"F","non-dropping-particle":"","parse-names":false,"suffix":""},{"dropping-particle":"","family":"Selig","given":"S","non-dropping-particle":"","parse-names":false,"suffix":""}],"container-title":"Nat Commun","id":"ITEM-1","issued":{"date-parts":[["2017"]]},"note":"Sagie, Shira\nToubiana, Shir\nHartono, Stella R\nKatzir, Hagar\nTzur-Gilat, Aya\nHavazelet, Shany\nFrancastel, Claire\nVelasco, Guillaume\nChedin, Frederic\nSelig, Sara\neng\nR01 GM094299/GM/NIGMS NIH HHS/\nEngland\n2017/01/25 06:00\nNat Commun. 2017 Jan 24;8:14015. doi: 10.1038/ncomms14015.","page":"14015","title":"Telomeres in ICF syndrome cells are vulnerable to DNA damage due to elevated DNA:RNA hybrids","type":"article-journal","volume":"8"},"uris":["http://www.mendeley.com/documents/?uuid=af19df43-23ae-439b-a092-d2ac113f8263"]}],"mendeley":{"formattedCitation":"(Sagie, Toubiana, et al. 2017)","plainTextFormattedCitation":"(Sagie, Toubiana, et al. 2017)","previouslyFormattedCitation":"(Sagie, Toubiana, et al. 2017)"},"properties":{"noteIndex":0},"schema":"https://github.com/citation-style-language/schema/raw/master/csl-citation.json"}</w:instrText>
            </w:r>
            <w:r w:rsidRPr="00704541">
              <w:rPr>
                <w:rFonts w:asciiTheme="majorBidi" w:hAnsiTheme="majorBidi" w:cstheme="majorBidi"/>
                <w:bCs/>
                <w:sz w:val="18"/>
                <w:szCs w:val="18"/>
              </w:rPr>
              <w:fldChar w:fldCharType="separate"/>
            </w:r>
            <w:r w:rsidRPr="00A40FFB">
              <w:rPr>
                <w:rFonts w:asciiTheme="majorBidi" w:hAnsiTheme="majorBidi" w:cstheme="majorBidi"/>
                <w:bCs/>
                <w:noProof/>
                <w:sz w:val="18"/>
                <w:szCs w:val="18"/>
              </w:rPr>
              <w:t>(Sagie, Toubiana, et al. 2017)</w:t>
            </w:r>
            <w:r w:rsidRPr="00704541">
              <w:rPr>
                <w:rFonts w:asciiTheme="majorBidi" w:hAnsiTheme="majorBidi" w:cstheme="majorBidi"/>
                <w:bCs/>
                <w:sz w:val="18"/>
                <w:szCs w:val="18"/>
              </w:rPr>
              <w:fldChar w:fldCharType="end"/>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10p/18p</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CCTTCTAACTGGACTCTGAC</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GCCACAGCGACGGTAAATAA</w:t>
            </w:r>
          </w:p>
          <w:p w:rsidR="00907649" w:rsidRPr="00DE5653" w:rsidRDefault="00907649" w:rsidP="00E12C22">
            <w:pPr>
              <w:spacing w:line="216" w:lineRule="auto"/>
              <w:rPr>
                <w:rFonts w:asciiTheme="majorBidi" w:hAnsiTheme="majorBidi" w:cstheme="majorBidi"/>
                <w:bCs/>
                <w:sz w:val="18"/>
                <w:szCs w:val="18"/>
                <w:rtl/>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 and RT-qPCR</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1</w:t>
            </w:r>
            <w:r w:rsidRPr="00AB3438">
              <w:rPr>
                <w:rFonts w:asciiTheme="majorBidi" w:hAnsiTheme="majorBidi" w:cstheme="majorBidi" w:hint="cs"/>
                <w:b/>
                <w:sz w:val="18"/>
                <w:szCs w:val="18"/>
                <w:rtl/>
              </w:rPr>
              <w:t>1</w:t>
            </w:r>
            <w:r w:rsidRPr="00DE5653">
              <w:rPr>
                <w:rFonts w:asciiTheme="majorBidi" w:hAnsiTheme="majorBidi" w:cstheme="majorBidi"/>
                <w:bCs/>
                <w:sz w:val="18"/>
                <w:szCs w:val="18"/>
              </w:rPr>
              <w:t xml:space="preserve">q </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CCAGCTGCCAGCAGTCGG</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TTGCTCGCAGTATAGTGG</w:t>
            </w:r>
          </w:p>
          <w:p w:rsidR="00907649" w:rsidRPr="00DE5653" w:rsidRDefault="00907649" w:rsidP="00E12C22">
            <w:pPr>
              <w:spacing w:line="216" w:lineRule="auto"/>
              <w:rPr>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 xml:space="preserve">ChIP </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579"/>
        </w:trPr>
        <w:tc>
          <w:tcPr>
            <w:tcW w:w="1838" w:type="dxa"/>
          </w:tcPr>
          <w:p w:rsidR="00907649"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11q</w:t>
            </w:r>
          </w:p>
          <w:p w:rsidR="00907649" w:rsidRPr="00A00790" w:rsidRDefault="00907649" w:rsidP="00E12C22">
            <w:pPr>
              <w:spacing w:line="216" w:lineRule="auto"/>
              <w:rPr>
                <w:rFonts w:asciiTheme="majorBidi" w:hAnsiTheme="majorBidi" w:cstheme="majorBidi"/>
                <w:sz w:val="18"/>
                <w:szCs w:val="18"/>
              </w:rPr>
            </w:pP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CTGATTATTCAGGGCTGCAAA</w:t>
            </w:r>
          </w:p>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R- GCCGCATCGACGGTGAATAA</w:t>
            </w: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RT-qPCR</w:t>
            </w:r>
          </w:p>
        </w:tc>
        <w:tc>
          <w:tcPr>
            <w:tcW w:w="2126" w:type="dxa"/>
          </w:tcPr>
          <w:p w:rsidR="00907649" w:rsidRPr="00704541" w:rsidRDefault="00907649" w:rsidP="00E12C22">
            <w:pPr>
              <w:jc w:val="center"/>
              <w:rPr>
                <w:rFonts w:asciiTheme="majorBidi" w:hAnsiTheme="majorBidi" w:cstheme="majorBidi"/>
                <w:bCs/>
                <w:sz w:val="18"/>
                <w:szCs w:val="1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{"citationItems":[{"id":"ITEM-1","itemData":{"DOI":"10.1038/nsmb.2364","ISBN":"1545-9985 (Electronic)\r1545-9985 (Linking)","PMID":"22922742","author":[{"dropping-particle":"","family":"Arnoult","given":"N","non-dropping-particle":"","parse-names":false,"suffix":""},{"dropping-particle":"","family":"Beneden","given":"A","non-dropping-particle":"Van","parse-names":false,"suffix":""},{"dropping-particle":"","family":"Decottignies","given":"A","non-dropping-particle":"","parse-names":false,"suffix":""}],"container-title":"Nat Struct Mol Biol","id":"ITEM-1","issue":"9","issued":{"date-parts":[["2012"]]},"page":"948-956","title":"Telomere length regulates TERRA levels through increased trimethylation of telomeric H3K9 and HP1alpha","type":"article-journal","volume":"19"},"uris":["http://www.mendeley.com/documents/?uuid=1c6e08e1-532e-46c3-aff8-f8a5d5ee0a3a"]}],"mendeley":{"formattedCitation":"(Arnoult, Van Beneden, and Decottignies 2012)","plainTextFormattedCitation":"(Arnoult, Van Beneden, and Decottignies 2012)","previouslyFormattedCitation":"(Arnoult, Van Beneden, and Decottignies 2012)"},"properties":{"noteIndex":0},"schema":"https://github.com/citation-style-language/schema/raw/master/csl-citation.json"}</w:instrText>
            </w:r>
            <w:r w:rsidRPr="00704541">
              <w:rPr>
                <w:rFonts w:asciiTheme="majorBidi" w:hAnsiTheme="majorBidi" w:cstheme="majorBidi"/>
                <w:bCs/>
                <w:sz w:val="18"/>
                <w:szCs w:val="18"/>
              </w:rPr>
              <w:fldChar w:fldCharType="separate"/>
            </w:r>
            <w:r w:rsidRPr="00704541">
              <w:rPr>
                <w:rFonts w:asciiTheme="majorBidi" w:hAnsiTheme="majorBidi" w:cstheme="majorBidi"/>
                <w:bCs/>
                <w:noProof/>
                <w:sz w:val="18"/>
                <w:szCs w:val="18"/>
              </w:rPr>
              <w:t>(Arnoult, Van Beneden, and Decottignies 2012)</w:t>
            </w:r>
            <w:r w:rsidRPr="00704541">
              <w:rPr>
                <w:rFonts w:asciiTheme="majorBidi" w:hAnsiTheme="majorBidi" w:cstheme="majorBidi"/>
                <w:bCs/>
                <w:sz w:val="18"/>
                <w:szCs w:val="18"/>
              </w:rPr>
              <w:fldChar w:fldCharType="end"/>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7q</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TTCAGACGGGCTTTTGGTTT</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ATGGTGAATACAATCCTTTCTGTTTG</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 and RT-qPCR</w:t>
            </w:r>
          </w:p>
        </w:tc>
        <w:tc>
          <w:tcPr>
            <w:tcW w:w="2126" w:type="dxa"/>
          </w:tcPr>
          <w:p w:rsidR="00907649" w:rsidRPr="00704541" w:rsidRDefault="00907649" w:rsidP="00E12C22">
            <w:pPr>
              <w:jc w:val="center"/>
              <w:rPr>
                <w:rFonts w:asciiTheme="majorBidi" w:hAnsiTheme="majorBidi" w:cstheme="majorBidi"/>
                <w:bCs/>
                <w:sz w:val="18"/>
                <w:szCs w:val="1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{"citationItems":[{"id":"ITEM-1","itemData":{"DOI":"10.1038/ncomms14015","ISBN":"2041-1723 (Electronic)\r2041-1723 (Linking)","PMID":"28117327","abstract":"DNA:RNA hybrids, nucleic acid structures with diverse physiological functions, can disrupt genome integrity when dysregulated. Human telomeres were shown to form hybrids with the lncRNA TERRA, yet the formation and distribution of these hybrids among telomeres, their regulation and their cellular effects remain elusive. Here we predict and confirm in several human cell types that DNA:RNA hybrids form at many subtelomeric and telomeric regions. We demonstrate that ICF syndrome cells, which exhibit short telomeres and elevated TERRA levels, are enriched for hybrids at telomeric regions throughout the cell cycle. Telomeric hybrids are associated with high levels of DNA damage at chromosome ends in ICF cells, which are significantly reduced with overexpression of RNase H1. Our findings suggest that abnormally high TERRA levels in ICF syndrome lead to accumulation of telomeric hybrids that, in turn, can result in telomeric dysfunction.","author":[{"dropping-particle":"","family":"Sagie","given":"S","non-dropping-particle":"","parse-names":false,"suffix":""},{"dropping-particle":"","family":"Toubiana","given":"S","non-dropping-particle":"","parse-names":false,"suffix":""},{"dropping-particle":"","family":"Hartono","given":"S R","non-dropping-particle":"","parse-names":false,"suffix":""},{"dropping-particle":"","family":"Katzir","given":"H","non-dropping-particle":"","parse-names":false,"suffix":""},{"dropping-particle":"","family":"Tzur-Gilat","given":"A","non-dropping-particle":"","parse-names":false,"suffix":""},{"dropping-particle":"","family":"Havazelet","given":"S","non-dropping-particle":"","parse-names":false,"suffix":""},{"dropping-particle":"","family":"Francastel","given":"C","non-dropping-particle":"","parse-names":false,"suffix":""},{"dropping-particle":"","family":"Velasco","given":"G","non-dropping-particle":"","parse-names":false,"suffix":""},{"dropping-particle":"","family":"Chedin","given":"F","non-dropping-particle":"","parse-names":false,"suffix":""},{"dropping-particle":"","family":"Selig","given":"S","non-dropping-particle":"","parse-names":false,"suffix":""}],"container-title":"Nat Commun","id":"ITEM-1","issued":{"date-parts":[["2017"]]},"note":"Sagie, Shira\nToubiana, Shir\nHartono, Stella R\nKatzir, Hagar\nTzur-Gilat, Aya\nHavazelet, Shany\nFrancastel, Claire\nVelasco, Guillaume\nChedin, Frederic\nSelig, Sara\neng\nR01 GM094299/GM/NIGMS NIH HHS/\nEngland\n2017/01/25 06:00\nNat Commun. 2017 Jan 24;8:14015. doi: 10.1038/ncomms14015.","page":"14015","title":"Telomeres in ICF syndrome cells are vulnerable to DNA damage due to elevated DNA:RNA hybrids","type":"article-journal","volume":"8"},"uris":["http://www.mendeley.com/documents/?uuid=af19df43-23ae-439b-a092-d2ac113f8263"]}],"mendeley":{"formattedCitation":"(Sagie, Toubiana, et al. 2017)","plainTextFormattedCitation":"(Sagie, Toubiana, et al. 2017)","previouslyFormattedCitation":"(Sagie, Toubiana, et al. 2017)"},"properties":{"noteIndex":0},"schema":"https://github.com/citation-style-language/schema/raw/master/csl-citation.json"}</w:instrText>
            </w:r>
            <w:r w:rsidRPr="00704541">
              <w:rPr>
                <w:rFonts w:asciiTheme="majorBidi" w:hAnsiTheme="majorBidi" w:cstheme="majorBidi"/>
                <w:bCs/>
                <w:sz w:val="18"/>
                <w:szCs w:val="18"/>
              </w:rPr>
              <w:fldChar w:fldCharType="separate"/>
            </w:r>
            <w:r w:rsidRPr="00A40FFB">
              <w:rPr>
                <w:rFonts w:asciiTheme="majorBidi" w:hAnsiTheme="majorBidi" w:cstheme="majorBidi"/>
                <w:bCs/>
                <w:noProof/>
                <w:sz w:val="18"/>
                <w:szCs w:val="18"/>
              </w:rPr>
              <w:t>(Sagie, Toubiana, et al. 2017)</w:t>
            </w:r>
            <w:r w:rsidRPr="00704541">
              <w:rPr>
                <w:rFonts w:asciiTheme="majorBidi" w:hAnsiTheme="majorBidi" w:cstheme="majorBidi"/>
                <w:bCs/>
                <w:sz w:val="18"/>
                <w:szCs w:val="18"/>
              </w:rPr>
              <w:fldChar w:fldCharType="end"/>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9p</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GGGCGCATTAACGGTGAATA</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CCGCACTGAACCGCTCTAAC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RT-qPCR</w:t>
            </w:r>
          </w:p>
        </w:tc>
        <w:tc>
          <w:tcPr>
            <w:tcW w:w="2126" w:type="dxa"/>
          </w:tcPr>
          <w:p w:rsidR="00907649" w:rsidRPr="00704541" w:rsidRDefault="00907649" w:rsidP="00E12C22">
            <w:pPr>
              <w:jc w:val="center"/>
              <w:rPr>
                <w:rFonts w:asciiTheme="majorBidi" w:hAnsiTheme="majorBidi" w:cstheme="majorBidi"/>
                <w:bCs/>
                <w:sz w:val="18"/>
                <w:szCs w:val="1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{"citationItems":[{"id":"ITEM-1","itemData":{"DOI":"10.1038/ncomms14015","ISBN":"2041-1723 (Electronic)\r2041-1723 (Linking)","PMID":"28117327","abstract":"DNA:RNA hybrids, nucleic acid structures with diverse physiological functions, can disrupt genome integrity when dysregulated. Human telomeres were shown to form hybrids with the lncRNA TERRA, yet the formation and distribution of these hybrids among telomeres, their regulation and their cellular effects remain elusive. Here we predict and confirm in several human cell types that DNA:RNA hybrids form at many subtelomeric and telomeric regions. We demonstrate that ICF syndrome cells, which exhibit short telomeres and elevated TERRA levels, are enriched for hybrids at telomeric regions throughout the cell cycle. Telomeric hybrids are associated with high levels of DNA damage at chromosome ends in ICF cells, which are significantly reduced with overexpression of RNase H1. Our findings suggest that abnormally high TERRA levels in ICF syndrome lead to accumulation of telomeric hybrids that, in turn, can result in telomeric dysfunction.","author":[{"dropping-particle":"","family":"Sagie","given":"S","non-dropping-particle":"","parse-names":false,"suffix":""},{"dropping-particle":"","family":"Toubiana","given":"S","non-dropping-particle":"","parse-names":false,"suffix":""},{"dropping-particle":"","family":"Hartono","given":"S R","non-dropping-particle":"","parse-names":false,"suffix":""},{"dropping-particle":"","family":"Katzir","given":"H","non-dropping-particle":"","parse-names":false,"suffix":""},{"dropping-particle":"","family":"Tzur-Gilat","given":"A","non-dropping-particle":"","parse-names":false,"suffix":""},{"dropping-particle":"","family":"Havazelet","given":"S","non-dropping-particle":"","parse-names":false,"suffix":""},{"dropping-particle":"","family":"Francastel","given":"C","non-dropping-particle":"","parse-names":false,"suffix":""},{"dropping-particle":"","family":"Velasco","given":"G","non-dropping-particle":"","parse-names":false,"suffix":""},{"dropping-particle":"","family":"Chedin","given":"F","non-dropping-particle":"","parse-names":false,"suffix":""},{"dropping-particle":"","family":"Selig","given":"S","non-dropping-particle":"","parse-names":false,"suffix":""}],"container-title":"Nat Commun","id":"ITEM-1","issued":{"date-parts":[["2017"]]},"note":"Sagie, Shira\nToubiana, Shir\nHartono, Stella R\nKatzir, Hagar\nTzur-Gilat, Aya\nHavazelet, Shany\nFrancastel, Claire\nVelasco, Guillaume\nChedin, Frederic\nSelig, Sara\neng\nR01 GM094299/GM/NIGMS NIH HHS/\nEngland\n2017/01/25 06:00\nNat Commun. 2017 Jan 24;8:14015. doi: 10.1038/ncomms14015.","page":"14015","title":"Telomeres in ICF syndrome cells are vulnerable to DNA damage due to elevated DNA:RNA hybrids","type":"article-journal","volume":"8"},"uris":["http://www.mendeley.com/documents/?uuid=af19df43-23ae-439b-a092-d2ac113f8263"]}],"mendeley":{"formattedCitation":"(Sagie, Toubiana, et al. 2017)","plainTextFormattedCitation":"(Sagie, Toubiana, et al. 2017)","previouslyFormattedCitation":"(Sagie, Toubiana, et al. 2017)"},"properties":{"noteIndex":0},"schema":"https://github.com/citation-style-language/schema/raw/master/csl-citation.json"}</w:instrText>
            </w:r>
            <w:r w:rsidRPr="00704541">
              <w:rPr>
                <w:rFonts w:asciiTheme="majorBidi" w:hAnsiTheme="majorBidi" w:cstheme="majorBidi"/>
                <w:bCs/>
                <w:sz w:val="18"/>
                <w:szCs w:val="18"/>
              </w:rPr>
              <w:fldChar w:fldCharType="separate"/>
            </w:r>
            <w:r w:rsidRPr="00A40FFB">
              <w:rPr>
                <w:rFonts w:asciiTheme="majorBidi" w:hAnsiTheme="majorBidi" w:cstheme="majorBidi"/>
                <w:bCs/>
                <w:noProof/>
                <w:sz w:val="18"/>
                <w:szCs w:val="18"/>
              </w:rPr>
              <w:t>(Sagie, Toubiana, et al. 2017)</w:t>
            </w:r>
            <w:r w:rsidRPr="00704541">
              <w:rPr>
                <w:rFonts w:asciiTheme="majorBidi" w:hAnsiTheme="majorBidi" w:cstheme="majorBidi"/>
                <w:bCs/>
                <w:sz w:val="18"/>
                <w:szCs w:val="18"/>
              </w:rPr>
              <w:fldChar w:fldCharType="end"/>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15p</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AACCCTAACCACATGAGCAACG</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CTCGCCTTAGCTTGGGAG</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RT-qPCR</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bCs/>
                <w:sz w:val="18"/>
                <w:szCs w:val="18"/>
              </w:rPr>
            </w:pPr>
            <w:r>
              <w:rPr>
                <w:rFonts w:asciiTheme="majorBidi" w:hAnsiTheme="majorBidi" w:cstheme="majorBidi"/>
                <w:bCs/>
                <w:sz w:val="18"/>
                <w:szCs w:val="18"/>
              </w:rPr>
              <w:t xml:space="preserve">Subtelomere </w:t>
            </w:r>
            <w:r w:rsidRPr="00DE5653">
              <w:rPr>
                <w:rFonts w:asciiTheme="majorBidi" w:hAnsiTheme="majorBidi" w:cstheme="majorBidi"/>
                <w:bCs/>
                <w:sz w:val="18"/>
                <w:szCs w:val="18"/>
              </w:rPr>
              <w:t>19q</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 CTATTGCGAAGGCGGAGC</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 xml:space="preserve">R </w:t>
            </w:r>
            <w:r>
              <w:rPr>
                <w:rFonts w:asciiTheme="majorBidi" w:hAnsiTheme="majorBidi" w:cstheme="majorBidi"/>
                <w:bCs/>
                <w:sz w:val="18"/>
                <w:szCs w:val="18"/>
              </w:rPr>
              <w:t>–</w:t>
            </w:r>
            <w:r w:rsidRPr="00DE5653">
              <w:rPr>
                <w:rFonts w:asciiTheme="majorBidi" w:hAnsiTheme="majorBidi" w:cstheme="majorBidi"/>
                <w:bCs/>
                <w:sz w:val="18"/>
                <w:szCs w:val="18"/>
              </w:rPr>
              <w:t> CCCCAACCCCAACCCCAACGGC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 and RT-qPCR</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sz w:val="18"/>
                <w:szCs w:val="18"/>
              </w:rPr>
            </w:pPr>
            <w:r w:rsidRPr="00DE5653">
              <w:rPr>
                <w:rFonts w:ascii="Symbol" w:hAnsi="Symbol" w:cstheme="majorBidi"/>
                <w:sz w:val="18"/>
                <w:szCs w:val="18"/>
              </w:rPr>
              <w:t></w:t>
            </w:r>
            <w:r w:rsidRPr="00DE5653">
              <w:rPr>
                <w:rFonts w:asciiTheme="majorBidi" w:hAnsiTheme="majorBidi" w:cstheme="majorBidi"/>
                <w:sz w:val="18"/>
                <w:szCs w:val="18"/>
              </w:rPr>
              <w:t>-actin</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TGTACGCCAACACAGTGCTG</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GCTGGAAGGTGGACAGCGA</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Normalizing gene for</w:t>
            </w:r>
          </w:p>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RT-qPCR</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sz w:val="18"/>
                <w:szCs w:val="18"/>
              </w:rPr>
            </w:pPr>
            <w:r w:rsidRPr="00DE5653">
              <w:rPr>
                <w:rFonts w:asciiTheme="majorBidi" w:hAnsiTheme="majorBidi" w:cstheme="majorBidi"/>
                <w:sz w:val="18"/>
                <w:szCs w:val="18"/>
              </w:rPr>
              <w:t>Satellite 2</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AGTGGAATCATCTNRAATGGA</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CATTCGAGTCCATTCGATGATT</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ChIP</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sz w:val="18"/>
                <w:szCs w:val="18"/>
              </w:rPr>
            </w:pPr>
            <w:r w:rsidRPr="00DE5653">
              <w:rPr>
                <w:rFonts w:asciiTheme="majorBidi" w:hAnsiTheme="majorBidi" w:cstheme="majorBidi"/>
                <w:sz w:val="18"/>
                <w:szCs w:val="18"/>
              </w:rPr>
              <w:t>Hoxa 7 TSS</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TACTCACCTCCCCTTTCCCA</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GTACCCTGCTCAGCTCCATC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Negative control region for H3K4me3 ChIP</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204"/>
        </w:trPr>
        <w:tc>
          <w:tcPr>
            <w:tcW w:w="1838" w:type="dxa"/>
          </w:tcPr>
          <w:p w:rsidR="00907649" w:rsidRPr="00DE5653" w:rsidRDefault="00907649" w:rsidP="00E12C22">
            <w:pPr>
              <w:spacing w:line="216" w:lineRule="auto"/>
              <w:rPr>
                <w:rFonts w:asciiTheme="majorBidi" w:hAnsiTheme="majorBidi" w:cstheme="majorBidi"/>
                <w:sz w:val="18"/>
                <w:szCs w:val="18"/>
              </w:rPr>
            </w:pPr>
            <w:r w:rsidRPr="00DE5653">
              <w:rPr>
                <w:rFonts w:asciiTheme="majorBidi" w:hAnsiTheme="majorBidi" w:cstheme="majorBidi"/>
                <w:sz w:val="18"/>
                <w:szCs w:val="18"/>
              </w:rPr>
              <w:t>GAPDH promoter</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AAAGCCCGCACCAACCAT</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AGTCCCTGACCCTGCCTTTC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sz w:val="18"/>
                <w:szCs w:val="18"/>
              </w:rPr>
            </w:pPr>
            <w:r w:rsidRPr="00DE5653">
              <w:rPr>
                <w:rFonts w:asciiTheme="majorBidi" w:hAnsiTheme="majorBidi" w:cstheme="majorBidi"/>
                <w:bCs/>
                <w:sz w:val="18"/>
                <w:szCs w:val="18"/>
              </w:rPr>
              <w:t>Negative control region for H3K9me3</w:t>
            </w:r>
            <w:r w:rsidRPr="00DE5653">
              <w:rPr>
                <w:sz w:val="18"/>
                <w:szCs w:val="18"/>
              </w:rPr>
              <w:t xml:space="preserve"> </w:t>
            </w:r>
            <w:r w:rsidRPr="00DE5653">
              <w:rPr>
                <w:rFonts w:asciiTheme="majorBidi" w:hAnsiTheme="majorBidi" w:cstheme="majorBidi"/>
                <w:bCs/>
                <w:sz w:val="18"/>
                <w:szCs w:val="18"/>
              </w:rPr>
              <w:t>ChIP</w:t>
            </w:r>
          </w:p>
        </w:tc>
        <w:tc>
          <w:tcPr>
            <w:tcW w:w="2126" w:type="dxa"/>
          </w:tcPr>
          <w:p w:rsidR="00907649" w:rsidRPr="000F2E0B" w:rsidRDefault="00907649" w:rsidP="00E12C22">
            <w:pPr>
              <w:jc w:val="center"/>
              <w:rPr>
                <w:rFonts w:asciiTheme="majorBidi" w:hAnsiTheme="majorBidi" w:cstheme="majorBidi"/>
                <w:bCs/>
                <w:sz w:val="28"/>
                <w:szCs w:val="28"/>
              </w:rPr>
            </w:pPr>
            <w:r w:rsidRPr="000F2E0B">
              <w:rPr>
                <w:rFonts w:asciiTheme="majorBidi" w:hAnsiTheme="majorBidi" w:cstheme="majorBidi"/>
                <w:bCs/>
                <w:sz w:val="28"/>
                <w:szCs w:val="28"/>
              </w:rPr>
              <w:t>-</w:t>
            </w:r>
          </w:p>
        </w:tc>
      </w:tr>
      <w:tr w:rsidR="00907649" w:rsidRPr="00DE5653" w:rsidTr="00E12C22">
        <w:trPr>
          <w:trHeight w:val="55"/>
        </w:trPr>
        <w:tc>
          <w:tcPr>
            <w:tcW w:w="1838" w:type="dxa"/>
          </w:tcPr>
          <w:p w:rsidR="00907649" w:rsidRPr="00DE5653" w:rsidRDefault="00907649" w:rsidP="00E12C22">
            <w:pPr>
              <w:spacing w:line="216" w:lineRule="auto"/>
              <w:rPr>
                <w:rFonts w:asciiTheme="majorBidi" w:hAnsiTheme="majorBidi" w:cstheme="majorBidi"/>
                <w:sz w:val="18"/>
                <w:szCs w:val="18"/>
              </w:rPr>
            </w:pPr>
            <w:r w:rsidRPr="00DE5653">
              <w:rPr>
                <w:rFonts w:asciiTheme="majorBidi" w:hAnsiTheme="majorBidi" w:cstheme="majorBidi"/>
                <w:sz w:val="18"/>
                <w:szCs w:val="18"/>
              </w:rPr>
              <w:t>Myoglobin exon2</w:t>
            </w:r>
          </w:p>
        </w:tc>
        <w:tc>
          <w:tcPr>
            <w:tcW w:w="3827" w:type="dxa"/>
          </w:tcPr>
          <w:p w:rsidR="00907649" w:rsidRPr="00DE5653" w:rsidRDefault="00907649" w:rsidP="00E12C22">
            <w:pPr>
              <w:spacing w:line="216" w:lineRule="auto"/>
              <w:rPr>
                <w:rFonts w:asciiTheme="majorBidi" w:hAnsiTheme="majorBidi" w:cstheme="majorBidi"/>
                <w:bCs/>
                <w:sz w:val="18"/>
                <w:szCs w:val="18"/>
              </w:rPr>
            </w:pPr>
            <w:r w:rsidRPr="00DE5653">
              <w:rPr>
                <w:rFonts w:asciiTheme="majorBidi" w:hAnsiTheme="majorBidi" w:cstheme="majorBidi"/>
                <w:bCs/>
                <w:sz w:val="18"/>
                <w:szCs w:val="18"/>
              </w:rPr>
              <w:t>F- GTGCCAGGGGCTTAATCT</w:t>
            </w:r>
          </w:p>
          <w:p w:rsidR="00907649" w:rsidRDefault="00907649" w:rsidP="00E12C22">
            <w:pPr>
              <w:spacing w:line="216" w:lineRule="auto"/>
              <w:rPr>
                <w:rFonts w:asciiTheme="majorBidi" w:hAnsiTheme="majorBidi" w:cstheme="majorBidi"/>
                <w:bCs/>
                <w:sz w:val="18"/>
                <w:szCs w:val="18"/>
                <w:rtl/>
              </w:rPr>
            </w:pPr>
            <w:r w:rsidRPr="00DE5653">
              <w:rPr>
                <w:rFonts w:asciiTheme="majorBidi" w:hAnsiTheme="majorBidi" w:cstheme="majorBidi"/>
                <w:bCs/>
                <w:sz w:val="18"/>
                <w:szCs w:val="18"/>
              </w:rPr>
              <w:t>R- GCGTCTGAGGACTTAAAGAAGC</w:t>
            </w:r>
          </w:p>
          <w:p w:rsidR="00907649" w:rsidRPr="00DE5653" w:rsidRDefault="00907649" w:rsidP="00E12C22">
            <w:pPr>
              <w:spacing w:line="216" w:lineRule="auto"/>
              <w:rPr>
                <w:rFonts w:asciiTheme="majorBidi" w:hAnsiTheme="majorBidi" w:cstheme="majorBidi"/>
                <w:bCs/>
                <w:sz w:val="18"/>
                <w:szCs w:val="18"/>
              </w:rPr>
            </w:pPr>
          </w:p>
        </w:tc>
        <w:tc>
          <w:tcPr>
            <w:tcW w:w="2127" w:type="dxa"/>
          </w:tcPr>
          <w:p w:rsidR="00907649" w:rsidRPr="00DE5653" w:rsidRDefault="00907649" w:rsidP="00E12C22">
            <w:pPr>
              <w:spacing w:line="216" w:lineRule="auto"/>
              <w:rPr>
                <w:sz w:val="18"/>
                <w:szCs w:val="18"/>
              </w:rPr>
            </w:pPr>
            <w:r w:rsidRPr="00DE5653">
              <w:rPr>
                <w:rFonts w:asciiTheme="majorBidi" w:hAnsiTheme="majorBidi" w:cstheme="majorBidi"/>
                <w:bCs/>
                <w:sz w:val="18"/>
                <w:szCs w:val="18"/>
              </w:rPr>
              <w:t>Negative control region for H3K36me3</w:t>
            </w:r>
            <w:r w:rsidRPr="00DE5653">
              <w:rPr>
                <w:sz w:val="18"/>
                <w:szCs w:val="18"/>
              </w:rPr>
              <w:t xml:space="preserve"> </w:t>
            </w:r>
            <w:r w:rsidRPr="00DE5653">
              <w:rPr>
                <w:rFonts w:asciiTheme="majorBidi" w:hAnsiTheme="majorBidi" w:cstheme="majorBidi"/>
                <w:bCs/>
                <w:sz w:val="18"/>
                <w:szCs w:val="18"/>
              </w:rPr>
              <w:t>ChIP</w:t>
            </w:r>
          </w:p>
        </w:tc>
        <w:tc>
          <w:tcPr>
            <w:tcW w:w="2126" w:type="dxa"/>
          </w:tcPr>
          <w:p w:rsidR="00907649" w:rsidRPr="00704541" w:rsidRDefault="00907649" w:rsidP="00E12C22">
            <w:pPr>
              <w:jc w:val="center"/>
              <w:rPr>
                <w:rFonts w:asciiTheme="majorBidi" w:hAnsiTheme="majorBidi" w:cstheme="majorBidi"/>
                <w:bCs/>
                <w:sz w:val="18"/>
                <w:szCs w:val="18"/>
              </w:rPr>
            </w:pPr>
            <w:r w:rsidRPr="00704541">
              <w:rPr>
                <w:rFonts w:asciiTheme="majorBidi" w:hAnsiTheme="majorBidi" w:cstheme="majorBidi"/>
                <w:bCs/>
                <w:sz w:val="18"/>
                <w:szCs w:val="18"/>
              </w:rPr>
              <w:fldChar w:fldCharType="begin" w:fldLock="1"/>
            </w:r>
            <w:r>
              <w:rPr>
                <w:rFonts w:asciiTheme="majorBidi" w:hAnsiTheme="majorBidi" w:cstheme="majorBidi"/>
                <w:bCs/>
                <w:sz w:val="18"/>
                <w:szCs w:val="18"/>
              </w:rPr>
              <w:instrText>ADDIN CSL_CITATION {"citationItems":[{"id":"ITEM-1","itemData":{"DOI":"10.1093/nar/gkx163","ISSN":"0305-1048","PMID":"28334849","abstract":"Hypomorphic mutations in DNA-methyltransferase DNMT3B cause majority of the rare disorder Immunodeficiency, Centromere instability and Facial anomalies syndrome cases (ICF1). By unspecified mechanisms, mutant-DNMT3B interferes with lymphoid-specific pathways resulting in immune response defects. Interestingly, recent findings report that DNMT3B shapes intragenic CpG-methylation of highly-transcribed genes. However, how the DNMT3B-dependent epigenetic network modulates transcription and whether ICF1-specific mutations impair this process remains unknown. We performed a transcriptomic and epigenomic study in patient-derived B-cell lines to investigate the genome-scale effects of DNMT3B dysfunction. We highlighted that altered intragenic CpG-methylation impairs multiple aspects of transcriptional regulation, like alternative TSS usage, antisense transcription and exon splicing. These defects preferentially associate with changes of intragenic H3K4me3 and at lesser extent of H3K27me3 and H3K36me3. In addition, we highlighted a novel DNMT3B activity in modulating the self-regulatory circuit of sense-antisense pairs and the exon skipping during alternative splicing, through interacting with RNA molecules. Strikingly, altered transcription affects disease relevant genes, as for instance the memory-B cell marker CD27 and PTPRC genes, providing us with biological insights into the ICF1-syndrome pathogenesis. Our genome-scale approach sheds light on the mechanisms still poorly understood of the intragenic function of DNMT3B and DNA methylation in gene expression regulation.","author":[{"dropping-particle":"","family":"Gatto","given":"Sole","non-dropping-particle":"","parse-names":false,"suffix":""},{"dropping-particle":"","family":"Gagliardi","given":"Miriam","non-dropping-particle":"","parse-names":false,"suffix":""},{"dropping-particle":"","family":"Franzese","given":"Monica","non-dropping-particle":"","parse-names":false,"suffix":""},{"dropping-particle":"","family":"Leppert","given":"Sylwia","non-dropping-particle":"","parse-names":false,"suffix":""},{"dropping-particle":"","family":"Papa","given":"Mariarosaria","non-dropping-particle":"","parse-names":false,"suffix":""},{"dropping-particle":"","family":"Cammisa","given":"Marco","non-dropping-particle":"","parse-names":false,"suffix":""},{"dropping-particle":"","family":"Grillo","given":"Giacomo","non-dropping-particle":"","parse-names":false,"suffix":""},{"dropping-particle":"","family":"Velasco","given":"Guillame","non-dropping-particle":"","parse-names":false,"suffix":""},{"dropping-particle":"","family":"Francastel","given":"Claire","non-dropping-particle":"","parse-names":false,"suffix":""},{"dropping-particle":"","family":"Toubiana","given":"Shir","non-dropping-particle":"","parse-names":false,"suffix":""},{"dropping-particle":"","family":"D’Esposito","given":"Maurizio","non-dropping-particle":"","parse-names":false,"suffix":""},{"dropping-particle":"","family":"Angelini","given":"Claudia","non-dropping-particle":"","parse-names":false,"suffix":""},{"dropping-particle":"","family":"Matarazzo","given":"Maria R.","non-dropping-particle":"","parse-names":false,"suffix":""}],"container-title":"Nucleic Acids Research","id":"ITEM-1","issue":"10","issued":{"date-parts":[["2017","6","2"]]},"page":"5739-5756","title":"ICF-specific DNMT3B dysfunction interferes with intragenic regulation of mRNA transcription and alternative splicing","type":"article-journal","volume":"45"},"uris":["http://www.mendeley.com/documents/?uuid=7b2473f2-db32-37bd-a0aa-18c25c2be8d7"]}],"mendeley":{"formattedCitation":"(Gatto et al. 2017)","plainTextFormattedCitation":"(Gatto et al. 2017)","previouslyFormattedCitation":"(Gatto et al. 2017)"},"properties":{"noteIndex":0},"schema":"https://github.com/citation-style-language/schema/raw/master/csl-citation.json"}</w:instrText>
            </w:r>
            <w:r w:rsidRPr="00704541">
              <w:rPr>
                <w:rFonts w:asciiTheme="majorBidi" w:hAnsiTheme="majorBidi" w:cstheme="majorBidi"/>
                <w:bCs/>
                <w:sz w:val="18"/>
                <w:szCs w:val="18"/>
              </w:rPr>
              <w:fldChar w:fldCharType="separate"/>
            </w:r>
            <w:r w:rsidRPr="00704541">
              <w:rPr>
                <w:rFonts w:asciiTheme="majorBidi" w:hAnsiTheme="majorBidi" w:cstheme="majorBidi"/>
                <w:bCs/>
                <w:noProof/>
                <w:sz w:val="18"/>
                <w:szCs w:val="18"/>
              </w:rPr>
              <w:t>(Gatto et al. 2017)</w:t>
            </w:r>
            <w:r w:rsidRPr="00704541">
              <w:rPr>
                <w:rFonts w:asciiTheme="majorBidi" w:hAnsiTheme="majorBidi" w:cstheme="majorBidi"/>
                <w:bCs/>
                <w:sz w:val="18"/>
                <w:szCs w:val="18"/>
              </w:rPr>
              <w:fldChar w:fldCharType="end"/>
            </w:r>
          </w:p>
        </w:tc>
      </w:tr>
    </w:tbl>
    <w:p w:rsidR="00907649" w:rsidRDefault="00907649" w:rsidP="00907649">
      <w:pPr>
        <w:spacing w:line="360" w:lineRule="auto"/>
        <w:ind w:right="26"/>
        <w:rPr>
          <w:rFonts w:asciiTheme="majorBidi" w:eastAsia="Times New Roman" w:hAnsiTheme="majorBidi" w:cstheme="majorBidi"/>
          <w:sz w:val="28"/>
          <w:szCs w:val="28"/>
        </w:rPr>
      </w:pPr>
    </w:p>
    <w:p w:rsidR="00907649" w:rsidRDefault="00907649" w:rsidP="00907649">
      <w:pPr>
        <w:tabs>
          <w:tab w:val="left" w:pos="9020"/>
        </w:tabs>
        <w:spacing w:line="480" w:lineRule="auto"/>
        <w:ind w:right="26"/>
        <w:rPr>
          <w:rFonts w:asciiTheme="majorBidi" w:hAnsiTheme="majorBidi" w:cstheme="majorBidi"/>
        </w:rPr>
      </w:pPr>
    </w:p>
    <w:p w:rsidR="00907649" w:rsidRDefault="00907649" w:rsidP="00377CA3">
      <w:pPr>
        <w:spacing w:line="360" w:lineRule="auto"/>
      </w:pPr>
    </w:p>
    <w:sectPr w:rsidR="00907649" w:rsidSect="00BA3086">
      <w:footerReference w:type="even" r:id="rId6"/>
      <w:footerReference w:type="default" r:id="rId7"/>
      <w:pgSz w:w="11900" w:h="16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8AF" w:rsidRDefault="00BF08AF" w:rsidP="00907649">
      <w:r>
        <w:separator/>
      </w:r>
    </w:p>
  </w:endnote>
  <w:endnote w:type="continuationSeparator" w:id="0">
    <w:p w:rsidR="00BF08AF" w:rsidRDefault="00BF08AF" w:rsidP="009076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289951545"/>
      <w:docPartObj>
        <w:docPartGallery w:val="Page Numbers (Bottom of Page)"/>
        <w:docPartUnique/>
      </w:docPartObj>
    </w:sdtPr>
    <w:sdtEndPr>
      <w:rPr>
        <w:rStyle w:val="PageNumber"/>
      </w:rPr>
    </w:sdtEndPr>
    <w:sdtContent>
      <w:p w:rsidR="00907649" w:rsidRDefault="00907649" w:rsidP="00BA30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07649" w:rsidRDefault="00907649" w:rsidP="0090764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40113941"/>
      <w:docPartObj>
        <w:docPartGallery w:val="Page Numbers (Bottom of Page)"/>
        <w:docPartUnique/>
      </w:docPartObj>
    </w:sdtPr>
    <w:sdtEndPr>
      <w:rPr>
        <w:rStyle w:val="PageNumber"/>
      </w:rPr>
    </w:sdtEndPr>
    <w:sdtContent>
      <w:p w:rsidR="00907649" w:rsidRDefault="00907649" w:rsidP="00BA3086">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07649" w:rsidRDefault="00907649" w:rsidP="0090764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8AF" w:rsidRDefault="00BF08AF" w:rsidP="00907649">
      <w:r>
        <w:separator/>
      </w:r>
    </w:p>
  </w:footnote>
  <w:footnote w:type="continuationSeparator" w:id="0">
    <w:p w:rsidR="00BF08AF" w:rsidRDefault="00BF08AF" w:rsidP="009076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0B2D"/>
    <w:rsid w:val="000B2CE3"/>
    <w:rsid w:val="00124BD8"/>
    <w:rsid w:val="00303202"/>
    <w:rsid w:val="00377CA3"/>
    <w:rsid w:val="00500A71"/>
    <w:rsid w:val="00720B2D"/>
    <w:rsid w:val="0073479B"/>
    <w:rsid w:val="00771D24"/>
    <w:rsid w:val="00837255"/>
    <w:rsid w:val="00907649"/>
    <w:rsid w:val="00A243F7"/>
    <w:rsid w:val="00B547E0"/>
    <w:rsid w:val="00BA3086"/>
    <w:rsid w:val="00BD1809"/>
    <w:rsid w:val="00BF08AF"/>
    <w:rsid w:val="00C76EA6"/>
    <w:rsid w:val="00DA1AA1"/>
    <w:rsid w:val="00E2058A"/>
    <w:rsid w:val="00F9190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ecimalSymbol w:val="."/>
  <w:listSeparator w:val=","/>
  <w14:docId w14:val="384DFD39"/>
  <w15:chartTrackingRefBased/>
  <w15:docId w15:val="{02736FC2-D4C0-9E49-A8BE-1AC1D1B1E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he-I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0764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907649"/>
    <w:pPr>
      <w:tabs>
        <w:tab w:val="center" w:pos="4680"/>
        <w:tab w:val="right" w:pos="9360"/>
      </w:tabs>
    </w:pPr>
  </w:style>
  <w:style w:type="character" w:customStyle="1" w:styleId="FooterChar">
    <w:name w:val="Footer Char"/>
    <w:basedOn w:val="DefaultParagraphFont"/>
    <w:link w:val="Footer"/>
    <w:uiPriority w:val="99"/>
    <w:rsid w:val="00907649"/>
  </w:style>
  <w:style w:type="character" w:styleId="PageNumber">
    <w:name w:val="page number"/>
    <w:basedOn w:val="DefaultParagraphFont"/>
    <w:uiPriority w:val="99"/>
    <w:semiHidden/>
    <w:unhideWhenUsed/>
    <w:rsid w:val="00907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3477</Words>
  <Characters>19821</Characters>
  <Application>Microsoft Office Word</Application>
  <DocSecurity>0</DocSecurity>
  <Lines>165</Lines>
  <Paragraphs>46</Paragraphs>
  <ScaleCrop>false</ScaleCrop>
  <Company/>
  <LinksUpToDate>false</LinksUpToDate>
  <CharactersWithSpaces>23252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Selig</dc:creator>
  <cp:keywords/>
  <dc:description/>
  <cp:lastModifiedBy>Sara Selig</cp:lastModifiedBy>
  <cp:revision>2</cp:revision>
  <dcterms:created xsi:type="dcterms:W3CDTF">2019-10-27T05:29:00Z</dcterms:created>
  <dcterms:modified xsi:type="dcterms:W3CDTF">2019-10-27T05:29:00Z</dcterms:modified>
</cp:coreProperties>
</file>