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649" w:rsidRDefault="00907649" w:rsidP="00907649">
      <w:pPr>
        <w:rPr>
          <w:rFonts w:asciiTheme="majorBidi" w:hAnsiTheme="majorBidi" w:cstheme="majorBidi"/>
          <w:b/>
          <w:bCs/>
        </w:rPr>
      </w:pPr>
    </w:p>
    <w:p w:rsidR="00907649" w:rsidRDefault="00907649" w:rsidP="00907649">
      <w:pPr>
        <w:ind w:right="26"/>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Supplementary </w:t>
      </w:r>
      <w:r w:rsidR="00BA3086">
        <w:rPr>
          <w:rFonts w:ascii="Times New Roman" w:eastAsia="Times New Roman" w:hAnsi="Times New Roman" w:cs="Times New Roman"/>
          <w:b/>
          <w:bCs/>
          <w:color w:val="000000"/>
        </w:rPr>
        <w:t>Table</w:t>
      </w:r>
      <w:bookmarkStart w:id="0" w:name="_GoBack"/>
      <w:bookmarkEnd w:id="0"/>
      <w:r>
        <w:rPr>
          <w:rFonts w:ascii="Times New Roman" w:eastAsia="Times New Roman" w:hAnsi="Times New Roman" w:cs="Times New Roman"/>
          <w:b/>
          <w:bCs/>
          <w:color w:val="000000"/>
        </w:rPr>
        <w:t xml:space="preserve"> 3.</w:t>
      </w:r>
    </w:p>
    <w:p w:rsidR="00907649" w:rsidRDefault="00907649" w:rsidP="00907649">
      <w:pPr>
        <w:ind w:right="26"/>
        <w:rPr>
          <w:rFonts w:ascii="Times New Roman" w:eastAsia="Times New Roman" w:hAnsi="Times New Roman" w:cs="Times New Roman"/>
          <w:color w:val="000000"/>
          <w:rtl/>
        </w:rPr>
      </w:pPr>
    </w:p>
    <w:p w:rsidR="00907649" w:rsidRDefault="00907649" w:rsidP="00907649">
      <w:pPr>
        <w:outlineLvl w:val="0"/>
        <w:rPr>
          <w:rFonts w:asciiTheme="majorBidi" w:hAnsiTheme="majorBidi" w:cstheme="majorBidi"/>
          <w:b/>
        </w:rPr>
      </w:pPr>
      <w:r w:rsidRPr="00CA6BDD">
        <w:rPr>
          <w:rFonts w:asciiTheme="majorBidi" w:hAnsiTheme="majorBidi" w:cstheme="majorBidi"/>
          <w:b/>
        </w:rPr>
        <w:t xml:space="preserve">Primers for RT-qPCR and ChIP analyses </w:t>
      </w:r>
    </w:p>
    <w:p w:rsidR="00907649" w:rsidRPr="00CA6BDD" w:rsidRDefault="00907649" w:rsidP="00907649">
      <w:pPr>
        <w:outlineLvl w:val="0"/>
        <w:rPr>
          <w:rFonts w:asciiTheme="majorBidi" w:hAnsiTheme="majorBidi" w:cstheme="majorBidi"/>
          <w:b/>
        </w:rPr>
      </w:pPr>
    </w:p>
    <w:tbl>
      <w:tblPr>
        <w:tblStyle w:val="TableGrid"/>
        <w:tblW w:w="9918" w:type="dxa"/>
        <w:tblLook w:val="04A0" w:firstRow="1" w:lastRow="0" w:firstColumn="1" w:lastColumn="0" w:noHBand="0" w:noVBand="1"/>
      </w:tblPr>
      <w:tblGrid>
        <w:gridCol w:w="1838"/>
        <w:gridCol w:w="3827"/>
        <w:gridCol w:w="2127"/>
        <w:gridCol w:w="2126"/>
      </w:tblGrid>
      <w:tr w:rsidR="00907649" w:rsidRPr="00DE5653" w:rsidTr="00E12C22">
        <w:trPr>
          <w:trHeight w:val="257"/>
        </w:trPr>
        <w:tc>
          <w:tcPr>
            <w:tcW w:w="1838" w:type="dxa"/>
          </w:tcPr>
          <w:p w:rsidR="00907649" w:rsidRDefault="00907649" w:rsidP="00E12C22">
            <w:pPr>
              <w:rPr>
                <w:rFonts w:asciiTheme="majorBidi" w:hAnsiTheme="majorBidi" w:cstheme="majorBidi"/>
                <w:b/>
                <w:bCs/>
                <w:sz w:val="18"/>
                <w:szCs w:val="18"/>
              </w:rPr>
            </w:pPr>
            <w:r w:rsidRPr="00DE5653">
              <w:rPr>
                <w:rFonts w:asciiTheme="majorBidi" w:hAnsiTheme="majorBidi" w:cstheme="majorBidi"/>
                <w:b/>
                <w:bCs/>
                <w:sz w:val="18"/>
                <w:szCs w:val="18"/>
              </w:rPr>
              <w:t xml:space="preserve">Referred to in </w:t>
            </w:r>
          </w:p>
          <w:p w:rsidR="00907649" w:rsidRPr="00DE5653" w:rsidRDefault="00907649" w:rsidP="00E12C22">
            <w:pPr>
              <w:rPr>
                <w:rFonts w:asciiTheme="majorBidi" w:hAnsiTheme="majorBidi" w:cstheme="majorBidi"/>
                <w:bCs/>
                <w:sz w:val="18"/>
                <w:szCs w:val="18"/>
              </w:rPr>
            </w:pPr>
            <w:r w:rsidRPr="00DE5653">
              <w:rPr>
                <w:rFonts w:asciiTheme="majorBidi" w:hAnsiTheme="majorBidi" w:cstheme="majorBidi"/>
                <w:b/>
                <w:bCs/>
                <w:sz w:val="18"/>
                <w:szCs w:val="18"/>
              </w:rPr>
              <w:t>this paper as</w:t>
            </w:r>
            <w:r>
              <w:rPr>
                <w:rFonts w:asciiTheme="majorBidi" w:hAnsiTheme="majorBidi" w:cstheme="majorBidi"/>
                <w:b/>
                <w:bCs/>
                <w:sz w:val="18"/>
                <w:szCs w:val="18"/>
              </w:rPr>
              <w:t>:</w:t>
            </w:r>
          </w:p>
        </w:tc>
        <w:tc>
          <w:tcPr>
            <w:tcW w:w="3827" w:type="dxa"/>
          </w:tcPr>
          <w:p w:rsidR="00907649" w:rsidRPr="00DE5653" w:rsidRDefault="00907649" w:rsidP="00E12C22">
            <w:pPr>
              <w:jc w:val="center"/>
              <w:rPr>
                <w:rFonts w:asciiTheme="majorBidi" w:hAnsiTheme="majorBidi" w:cstheme="majorBidi"/>
                <w:bCs/>
                <w:sz w:val="18"/>
                <w:szCs w:val="18"/>
              </w:rPr>
            </w:pPr>
            <w:r w:rsidRPr="00DE5653">
              <w:rPr>
                <w:rFonts w:asciiTheme="majorBidi" w:hAnsiTheme="majorBidi" w:cstheme="majorBidi"/>
                <w:b/>
                <w:bCs/>
                <w:sz w:val="18"/>
                <w:szCs w:val="18"/>
              </w:rPr>
              <w:t>Primer sequence</w:t>
            </w:r>
          </w:p>
        </w:tc>
        <w:tc>
          <w:tcPr>
            <w:tcW w:w="2127" w:type="dxa"/>
          </w:tcPr>
          <w:p w:rsidR="00907649" w:rsidRPr="00DE5653" w:rsidRDefault="00907649" w:rsidP="00E12C22">
            <w:pPr>
              <w:jc w:val="center"/>
              <w:rPr>
                <w:rFonts w:asciiTheme="majorBidi" w:hAnsiTheme="majorBidi" w:cstheme="majorBidi"/>
                <w:bCs/>
                <w:sz w:val="18"/>
                <w:szCs w:val="18"/>
              </w:rPr>
            </w:pPr>
            <w:r w:rsidRPr="00DE5653">
              <w:rPr>
                <w:rFonts w:asciiTheme="majorBidi" w:hAnsiTheme="majorBidi" w:cstheme="majorBidi"/>
                <w:b/>
                <w:bCs/>
                <w:sz w:val="18"/>
                <w:szCs w:val="18"/>
              </w:rPr>
              <w:t>Use of these primers</w:t>
            </w:r>
          </w:p>
        </w:tc>
        <w:tc>
          <w:tcPr>
            <w:tcW w:w="2126" w:type="dxa"/>
          </w:tcPr>
          <w:p w:rsidR="00907649" w:rsidRPr="00DE5653" w:rsidRDefault="00907649" w:rsidP="00E12C22">
            <w:pPr>
              <w:jc w:val="center"/>
              <w:rPr>
                <w:rFonts w:asciiTheme="majorBidi" w:hAnsiTheme="majorBidi" w:cstheme="majorBidi"/>
                <w:b/>
                <w:bCs/>
                <w:sz w:val="18"/>
                <w:szCs w:val="18"/>
              </w:rPr>
            </w:pPr>
            <w:r w:rsidRPr="00DE5653">
              <w:rPr>
                <w:rFonts w:asciiTheme="majorBidi" w:hAnsiTheme="majorBidi" w:cstheme="majorBidi"/>
                <w:b/>
                <w:bCs/>
                <w:sz w:val="18"/>
                <w:szCs w:val="18"/>
              </w:rPr>
              <w:t>Previous references</w:t>
            </w:r>
          </w:p>
        </w:tc>
      </w:tr>
      <w:tr w:rsidR="00907649" w:rsidRPr="00DE5653" w:rsidTr="00E12C22">
        <w:trPr>
          <w:trHeight w:val="195"/>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2p-P</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GTGGAACCTCAATAATCCGAAAA</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GGACACCACTGTAAGCAAGATAGC</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ChIP</w:t>
            </w:r>
            <w:r>
              <w:rPr>
                <w:rFonts w:asciiTheme="majorBidi" w:hAnsiTheme="majorBidi" w:cstheme="majorBidi"/>
                <w:bCs/>
                <w:sz w:val="18"/>
                <w:szCs w:val="18"/>
              </w:rPr>
              <w:t xml:space="preserve"> </w:t>
            </w:r>
          </w:p>
        </w:tc>
        <w:tc>
          <w:tcPr>
            <w:tcW w:w="2126" w:type="dxa"/>
          </w:tcPr>
          <w:p w:rsidR="00907649" w:rsidRPr="00DE5653" w:rsidRDefault="00907649" w:rsidP="00E12C22">
            <w:pPr>
              <w:jc w:val="center"/>
              <w:rPr>
                <w:rFonts w:asciiTheme="majorBidi" w:hAnsiTheme="majorBidi" w:cstheme="majorBidi"/>
                <w:bCs/>
                <w:sz w:val="18"/>
                <w:szCs w:val="18"/>
              </w:rPr>
            </w:pPr>
            <w:r w:rsidRPr="00DE5653">
              <w:rPr>
                <w:rFonts w:asciiTheme="majorBidi" w:hAnsiTheme="majorBidi" w:cstheme="majorBidi"/>
                <w:bCs/>
                <w:sz w:val="18"/>
                <w:szCs w:val="18"/>
              </w:rPr>
              <w:t>-</w:t>
            </w:r>
          </w:p>
        </w:tc>
      </w:tr>
      <w:tr w:rsidR="00907649" w:rsidRPr="00DE5653" w:rsidTr="00E12C22">
        <w:trPr>
          <w:trHeight w:val="195"/>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 xml:space="preserve">2p-D </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CGCATCGACGGTGAATAAAA</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GCCTAACTCGTGTCTGACTTTGAG</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ChIP and RT-qPCR</w:t>
            </w:r>
          </w:p>
        </w:tc>
        <w:tc>
          <w:tcPr>
            <w:tcW w:w="2126" w:type="dxa"/>
          </w:tcPr>
          <w:p w:rsidR="00907649" w:rsidRPr="000F2E0B" w:rsidRDefault="00907649" w:rsidP="00E12C22">
            <w:pPr>
              <w:jc w:val="center"/>
              <w:rPr>
                <w:rFonts w:asciiTheme="majorBidi" w:hAnsiTheme="majorBidi" w:cstheme="majorBidi"/>
                <w:bCs/>
                <w:sz w:val="28"/>
                <w:szCs w:val="28"/>
              </w:rPr>
            </w:pPr>
            <w:r w:rsidRPr="00704541">
              <w:rPr>
                <w:rFonts w:asciiTheme="majorBidi" w:hAnsiTheme="majorBidi" w:cstheme="majorBidi"/>
                <w:bCs/>
                <w:sz w:val="18"/>
                <w:szCs w:val="18"/>
              </w:rPr>
              <w:fldChar w:fldCharType="begin" w:fldLock="1"/>
            </w:r>
            <w:r>
              <w:rPr>
                <w:rFonts w:asciiTheme="majorBidi" w:hAnsiTheme="majorBidi" w:cstheme="majorBidi"/>
                <w:bCs/>
                <w:sz w:val="18"/>
                <w:szCs w:val="18"/>
              </w:rPr>
              <w:instrText>ADDIN CSL_CITATION {"citationItems":[{"id":"ITEM-1","itemData":{"DOI":"10.1038/ncomms14015","ISBN":"2041-1723 (Electronic)\r2041-1723 (Linking)","PMID":"28117327","abstract":"DNA:RNA hybrids, nucleic acid structures with diverse physiological functions, can disrupt genome integrity when dysregulated. Human telomeres were shown to form hybrids with the lncRNA TERRA, yet the formation and distribution of these hybrids among telomeres, their regulation and their cellular effects remain elusive. Here we predict and confirm in several human cell types that DNA:RNA hybrids form at many subtelomeric and telomeric regions. We demonstrate that ICF syndrome cells, which exhibit short telomeres and elevated TERRA levels, are enriched for hybrids at telomeric regions throughout the cell cycle. Telomeric hybrids are associated with high levels of DNA damage at chromosome ends in ICF cells, which are significantly reduced with overexpression of RNase H1. Our findings suggest that abnormally high TERRA levels in ICF syndrome lead to accumulation of telomeric hybrids that, in turn, can result in telomeric dysfunction.","author":[{"dropping-particle":"","family":"Sagie","given":"S","non-dropping-particle":"","parse-names":false,"suffix":""},{"dropping-particle":"","family":"Toubiana","given":"S","non-dropping-particle":"","parse-names":false,"suffix":""},{"dropping-particle":"","family":"Hartono","given":"S R","non-dropping-particle":"","parse-names":false,"suffix":""},{"dropping-particle":"","family":"Katzir","given":"H","non-dropping-particle":"","parse-names":false,"suffix":""},{"dropping-particle":"","family":"Tzur-Gilat","given":"A","non-dropping-particle":"","parse-names":false,"suffix":""},{"dropping-particle":"","family":"Havazelet","given":"S","non-dropping-particle":"","parse-names":false,"suffix":""},{"dropping-particle":"","family":"Francastel","given":"C","non-dropping-particle":"","parse-names":false,"suffix":""},{"dropping-particle":"","family":"Velasco","given":"G","non-dropping-particle":"","parse-names":false,"suffix":""},{"dropping-particle":"","family":"Chedin","given":"F","non-dropping-particle":"","parse-names":false,"suffix":""},{"dropping-particle":"","family":"Selig","given":"S","non-dropping-particle":"","parse-names":false,"suffix":""}],"container-title":"Nat Commun","id":"ITEM-1","issued":{"date-parts":[["2017"]]},"note":"Sagie, Shira\nToubiana, Shir\nHartono, Stella R\nKatzir, Hagar\nTzur-Gilat, Aya\nHavazelet, Shany\nFrancastel, Claire\nVelasco, Guillaume\nChedin, Frederic\nSelig, Sara\neng\nR01 GM094299/GM/NIGMS NIH HHS/\nEngland\n2017/01/25 06:00\nNat Commun. 2017 Jan 24;8:14015. doi: 10.1038/ncomms14015.","page":"14015","title":"Telomeres in ICF syndrome cells are vulnerable to DNA damage due to elevated DNA:RNA hybrids","type":"article-journal","volume":"8"},"uris":["http://www.mendeley.com/documents/?uuid=af19df43-23ae-439b-a092-d2ac113f8263"]}],"mendeley":{"formattedCitation":"(Sagie, Toubiana, et al. 2017)","plainTextFormattedCitation":"(Sagie, Toubiana, et al. 2017)","previouslyFormattedCitation":"(Sagie, Toubiana, et al. 2017)"},"properties":{"noteIndex":0},"schema":"https://github.com/citation-style-language/schema/raw/master/csl-citation.json"}</w:instrText>
            </w:r>
            <w:r w:rsidRPr="00704541">
              <w:rPr>
                <w:rFonts w:asciiTheme="majorBidi" w:hAnsiTheme="majorBidi" w:cstheme="majorBidi"/>
                <w:bCs/>
                <w:sz w:val="18"/>
                <w:szCs w:val="18"/>
              </w:rPr>
              <w:fldChar w:fldCharType="separate"/>
            </w:r>
            <w:r w:rsidRPr="00A40FFB">
              <w:rPr>
                <w:rFonts w:asciiTheme="majorBidi" w:hAnsiTheme="majorBidi" w:cstheme="majorBidi"/>
                <w:bCs/>
                <w:noProof/>
                <w:sz w:val="18"/>
                <w:szCs w:val="18"/>
              </w:rPr>
              <w:t>(Sagie, Toubiana, et al. 2017)</w:t>
            </w:r>
            <w:r w:rsidRPr="00704541">
              <w:rPr>
                <w:rFonts w:asciiTheme="majorBidi" w:hAnsiTheme="majorBidi" w:cstheme="majorBidi"/>
                <w:bCs/>
                <w:sz w:val="18"/>
                <w:szCs w:val="18"/>
              </w:rPr>
              <w:fldChar w:fldCharType="end"/>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5p-P</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TGGCACAGCATCGTAGACAAG</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TGGAACCTCAGCAATCTGAAAA</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ChIP</w:t>
            </w:r>
          </w:p>
        </w:tc>
        <w:tc>
          <w:tcPr>
            <w:tcW w:w="2126" w:type="dxa"/>
          </w:tcPr>
          <w:p w:rsidR="00907649" w:rsidRPr="000F2E0B" w:rsidRDefault="00907649" w:rsidP="00E12C22">
            <w:pPr>
              <w:jc w:val="center"/>
              <w:rPr>
                <w:rFonts w:asciiTheme="majorBidi" w:hAnsiTheme="majorBidi" w:cstheme="majorBidi"/>
                <w:bCs/>
                <w:sz w:val="28"/>
                <w:szCs w:val="28"/>
              </w:rPr>
            </w:pPr>
            <w:r w:rsidRPr="000F2E0B">
              <w:rPr>
                <w:rFonts w:asciiTheme="majorBidi" w:hAnsiTheme="majorBidi" w:cstheme="majorBidi"/>
                <w:bCs/>
                <w:sz w:val="28"/>
                <w:szCs w:val="28"/>
              </w:rPr>
              <w:t>-</w:t>
            </w:r>
          </w:p>
        </w:tc>
      </w:tr>
      <w:tr w:rsidR="00907649" w:rsidRPr="00DE5653" w:rsidTr="00E12C22">
        <w:trPr>
          <w:trHeight w:val="195"/>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5p-D</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GAGTGCATTAGCATACAGGT</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TCCTAATGCACACGTAACAC</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ChIP and RT-qPCR</w:t>
            </w:r>
          </w:p>
        </w:tc>
        <w:tc>
          <w:tcPr>
            <w:tcW w:w="2126" w:type="dxa"/>
          </w:tcPr>
          <w:p w:rsidR="00907649" w:rsidRPr="000F2E0B" w:rsidRDefault="00907649" w:rsidP="00E12C22">
            <w:pPr>
              <w:jc w:val="center"/>
              <w:rPr>
                <w:rFonts w:asciiTheme="majorBidi" w:hAnsiTheme="majorBidi" w:cstheme="majorBidi"/>
                <w:bCs/>
                <w:sz w:val="28"/>
                <w:szCs w:val="28"/>
              </w:rPr>
            </w:pPr>
            <w:r w:rsidRPr="00704541">
              <w:rPr>
                <w:rFonts w:asciiTheme="majorBidi" w:hAnsiTheme="majorBidi" w:cstheme="majorBidi"/>
                <w:bCs/>
                <w:sz w:val="18"/>
                <w:szCs w:val="18"/>
              </w:rPr>
              <w:fldChar w:fldCharType="begin" w:fldLock="1"/>
            </w:r>
            <w:r>
              <w:rPr>
                <w:rFonts w:asciiTheme="majorBidi" w:hAnsiTheme="majorBidi" w:cstheme="majorBidi"/>
                <w:bCs/>
                <w:sz w:val="18"/>
                <w:szCs w:val="18"/>
              </w:rPr>
              <w:instrText>ADDIN CSL_CITATION {"citationItems":[{"id":"ITEM-1","itemData":{"DOI":"10.1038/ncomms14015","ISBN":"2041-1723 (Electronic)\r2041-1723 (Linking)","PMID":"28117327","abstract":"DNA:RNA hybrids, nucleic acid structures with diverse physiological functions, can disrupt genome integrity when dysregulated. Human telomeres were shown to form hybrids with the lncRNA TERRA, yet the formation and distribution of these hybrids among telomeres, their regulation and their cellular effects remain elusive. Here we predict and confirm in several human cell types that DNA:RNA hybrids form at many subtelomeric and telomeric regions. We demonstrate that ICF syndrome cells, which exhibit short telomeres and elevated TERRA levels, are enriched for hybrids at telomeric regions throughout the cell cycle. Telomeric hybrids are associated with high levels of DNA damage at chromosome ends in ICF cells, which are significantly reduced with overexpression of RNase H1. Our findings suggest that abnormally high TERRA levels in ICF syndrome lead to accumulation of telomeric hybrids that, in turn, can result in telomeric dysfunction.","author":[{"dropping-particle":"","family":"Sagie","given":"S","non-dropping-particle":"","parse-names":false,"suffix":""},{"dropping-particle":"","family":"Toubiana","given":"S","non-dropping-particle":"","parse-names":false,"suffix":""},{"dropping-particle":"","family":"Hartono","given":"S R","non-dropping-particle":"","parse-names":false,"suffix":""},{"dropping-particle":"","family":"Katzir","given":"H","non-dropping-particle":"","parse-names":false,"suffix":""},{"dropping-particle":"","family":"Tzur-Gilat","given":"A","non-dropping-particle":"","parse-names":false,"suffix":""},{"dropping-particle":"","family":"Havazelet","given":"S","non-dropping-particle":"","parse-names":false,"suffix":""},{"dropping-particle":"","family":"Francastel","given":"C","non-dropping-particle":"","parse-names":false,"suffix":""},{"dropping-particle":"","family":"Velasco","given":"G","non-dropping-particle":"","parse-names":false,"suffix":""},{"dropping-particle":"","family":"Chedin","given":"F","non-dropping-particle":"","parse-names":false,"suffix":""},{"dropping-particle":"","family":"Selig","given":"S","non-dropping-particle":"","parse-names":false,"suffix":""}],"container-title":"Nat Commun","id":"ITEM-1","issued":{"date-parts":[["2017"]]},"note":"Sagie, Shira\nToubiana, Shir\nHartono, Stella R\nKatzir, Hagar\nTzur-Gilat, Aya\nHavazelet, Shany\nFrancastel, Claire\nVelasco, Guillaume\nChedin, Frederic\nSelig, Sara\neng\nR01 GM094299/GM/NIGMS NIH HHS/\nEngland\n2017/01/25 06:00\nNat Commun. 2017 Jan 24;8:14015. doi: 10.1038/ncomms14015.","page":"14015","title":"Telomeres in ICF syndrome cells are vulnerable to DNA damage due to elevated DNA:RNA hybrids","type":"article-journal","volume":"8"},"uris":["http://www.mendeley.com/documents/?uuid=af19df43-23ae-439b-a092-d2ac113f8263"]}],"mendeley":{"formattedCitation":"(Sagie, Toubiana, et al. 2017)","plainTextFormattedCitation":"(Sagie, Toubiana, et al. 2017)","previouslyFormattedCitation":"(Sagie, Toubiana, et al. 2017)"},"properties":{"noteIndex":0},"schema":"https://github.com/citation-style-language/schema/raw/master/csl-citation.json"}</w:instrText>
            </w:r>
            <w:r w:rsidRPr="00704541">
              <w:rPr>
                <w:rFonts w:asciiTheme="majorBidi" w:hAnsiTheme="majorBidi" w:cstheme="majorBidi"/>
                <w:bCs/>
                <w:sz w:val="18"/>
                <w:szCs w:val="18"/>
              </w:rPr>
              <w:fldChar w:fldCharType="separate"/>
            </w:r>
            <w:r w:rsidRPr="00A40FFB">
              <w:rPr>
                <w:rFonts w:asciiTheme="majorBidi" w:hAnsiTheme="majorBidi" w:cstheme="majorBidi"/>
                <w:bCs/>
                <w:noProof/>
                <w:sz w:val="18"/>
                <w:szCs w:val="18"/>
              </w:rPr>
              <w:t>(Sagie, Toubiana, et al. 2017)</w:t>
            </w:r>
            <w:r w:rsidRPr="00704541">
              <w:rPr>
                <w:rFonts w:asciiTheme="majorBidi" w:hAnsiTheme="majorBidi" w:cstheme="majorBidi"/>
                <w:bCs/>
                <w:sz w:val="18"/>
                <w:szCs w:val="18"/>
              </w:rPr>
              <w:fldChar w:fldCharType="end"/>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 xml:space="preserve">10q/13q/19q </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GGCGCTGGACACCACTGTA</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TGAGTAATCTGAAAAGCCCGTTT</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ChIP</w:t>
            </w:r>
          </w:p>
        </w:tc>
        <w:tc>
          <w:tcPr>
            <w:tcW w:w="2126" w:type="dxa"/>
          </w:tcPr>
          <w:p w:rsidR="00907649" w:rsidRPr="000F2E0B" w:rsidRDefault="00907649" w:rsidP="00E12C22">
            <w:pPr>
              <w:jc w:val="center"/>
              <w:rPr>
                <w:rFonts w:asciiTheme="majorBidi" w:hAnsiTheme="majorBidi" w:cstheme="majorBidi"/>
                <w:bCs/>
                <w:sz w:val="28"/>
                <w:szCs w:val="28"/>
              </w:rPr>
            </w:pPr>
            <w:r w:rsidRPr="000F2E0B">
              <w:rPr>
                <w:rFonts w:asciiTheme="majorBidi" w:hAnsiTheme="majorBidi" w:cstheme="majorBidi"/>
                <w:bCs/>
                <w:sz w:val="28"/>
                <w:szCs w:val="28"/>
              </w:rPr>
              <w:t>-</w:t>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2q/10q/13q</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AACCTGAACCCTAACCCTCC</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ATTGCAGGGTTCAAGTGCAG</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ChIP and RT-qPCR</w:t>
            </w:r>
          </w:p>
        </w:tc>
        <w:tc>
          <w:tcPr>
            <w:tcW w:w="2126" w:type="dxa"/>
          </w:tcPr>
          <w:p w:rsidR="00907649" w:rsidRPr="00704541" w:rsidRDefault="00907649" w:rsidP="00E12C22">
            <w:pPr>
              <w:jc w:val="center"/>
              <w:rPr>
                <w:rFonts w:asciiTheme="majorBidi" w:hAnsiTheme="majorBidi" w:cstheme="majorBidi"/>
                <w:bCs/>
                <w:sz w:val="18"/>
                <w:szCs w:val="18"/>
              </w:rPr>
            </w:pPr>
            <w:r w:rsidRPr="00704541">
              <w:rPr>
                <w:rFonts w:asciiTheme="majorBidi" w:hAnsiTheme="majorBidi" w:cstheme="majorBidi"/>
                <w:bCs/>
                <w:sz w:val="18"/>
                <w:szCs w:val="18"/>
              </w:rPr>
              <w:fldChar w:fldCharType="begin" w:fldLock="1"/>
            </w:r>
            <w:r>
              <w:rPr>
                <w:rFonts w:asciiTheme="majorBidi" w:hAnsiTheme="majorBidi" w:cstheme="majorBidi"/>
                <w:bCs/>
                <w:sz w:val="18"/>
                <w:szCs w:val="18"/>
              </w:rPr>
              <w:instrText>ADDIN CSL_CITATION {"citationItems":[{"id":"ITEM-1","itemData":{"DOI":"10.1038/ncomms14015","ISBN":"2041-1723 (Electronic)\r2041-1723 (Linking)","PMID":"28117327","abstract":"DNA:RNA hybrids, nucleic acid structures with diverse physiological functions, can disrupt genome integrity when dysregulated. Human telomeres were shown to form hybrids with the lncRNA TERRA, yet the formation and distribution of these hybrids among telomeres, their regulation and their cellular effects remain elusive. Here we predict and confirm in several human cell types that DNA:RNA hybrids form at many subtelomeric and telomeric regions. We demonstrate that ICF syndrome cells, which exhibit short telomeres and elevated TERRA levels, are enriched for hybrids at telomeric regions throughout the cell cycle. Telomeric hybrids are associated with high levels of DNA damage at chromosome ends in ICF cells, which are significantly reduced with overexpression of RNase H1. Our findings suggest that abnormally high TERRA levels in ICF syndrome lead to accumulation of telomeric hybrids that, in turn, can result in telomeric dysfunction.","author":[{"dropping-particle":"","family":"Sagie","given":"S","non-dropping-particle":"","parse-names":false,"suffix":""},{"dropping-particle":"","family":"Toubiana","given":"S","non-dropping-particle":"","parse-names":false,"suffix":""},{"dropping-particle":"","family":"Hartono","given":"S R","non-dropping-particle":"","parse-names":false,"suffix":""},{"dropping-particle":"","family":"Katzir","given":"H","non-dropping-particle":"","parse-names":false,"suffix":""},{"dropping-particle":"","family":"Tzur-Gilat","given":"A","non-dropping-particle":"","parse-names":false,"suffix":""},{"dropping-particle":"","family":"Havazelet","given":"S","non-dropping-particle":"","parse-names":false,"suffix":""},{"dropping-particle":"","family":"Francastel","given":"C","non-dropping-particle":"","parse-names":false,"suffix":""},{"dropping-particle":"","family":"Velasco","given":"G","non-dropping-particle":"","parse-names":false,"suffix":""},{"dropping-particle":"","family":"Chedin","given":"F","non-dropping-particle":"","parse-names":false,"suffix":""},{"dropping-particle":"","family":"Selig","given":"S","non-dropping-particle":"","parse-names":false,"suffix":""}],"container-title":"Nat Commun","id":"ITEM-1","issued":{"date-parts":[["2017"]]},"note":"Sagie, Shira\nToubiana, Shir\nHartono, Stella R\nKatzir, Hagar\nTzur-Gilat, Aya\nHavazelet, Shany\nFrancastel, Claire\nVelasco, Guillaume\nChedin, Frederic\nSelig, Sara\neng\nR01 GM094299/GM/NIGMS NIH HHS/\nEngland\n2017/01/25 06:00\nNat Commun. 2017 Jan 24;8:14015. doi: 10.1038/ncomms14015.","page":"14015","title":"Telomeres in ICF syndrome cells are vulnerable to DNA damage due to elevated DNA:RNA hybrids","type":"article-journal","volume":"8"},"uris":["http://www.mendeley.com/documents/?uuid=af19df43-23ae-439b-a092-d2ac113f8263"]}],"mendeley":{"formattedCitation":"(Sagie, Toubiana, et al. 2017)","plainTextFormattedCitation":"(Sagie, Toubiana, et al. 2017)","previouslyFormattedCitation":"(Sagie, Toubiana, et al. 2017)"},"properties":{"noteIndex":0},"schema":"https://github.com/citation-style-language/schema/raw/master/csl-citation.json"}</w:instrText>
            </w:r>
            <w:r w:rsidRPr="00704541">
              <w:rPr>
                <w:rFonts w:asciiTheme="majorBidi" w:hAnsiTheme="majorBidi" w:cstheme="majorBidi"/>
                <w:bCs/>
                <w:sz w:val="18"/>
                <w:szCs w:val="18"/>
              </w:rPr>
              <w:fldChar w:fldCharType="separate"/>
            </w:r>
            <w:r w:rsidRPr="00A40FFB">
              <w:rPr>
                <w:rFonts w:asciiTheme="majorBidi" w:hAnsiTheme="majorBidi" w:cstheme="majorBidi"/>
                <w:bCs/>
                <w:noProof/>
                <w:sz w:val="18"/>
                <w:szCs w:val="18"/>
              </w:rPr>
              <w:t>(Sagie, Toubiana, et al. 2017)</w:t>
            </w:r>
            <w:r w:rsidRPr="00704541">
              <w:rPr>
                <w:rFonts w:asciiTheme="majorBidi" w:hAnsiTheme="majorBidi" w:cstheme="majorBidi"/>
                <w:bCs/>
                <w:sz w:val="18"/>
                <w:szCs w:val="18"/>
              </w:rPr>
              <w:fldChar w:fldCharType="end"/>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10p/18p</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CCTTCTAACTGGACTCTGAC</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GCCACAGCGACGGTAAATAA</w:t>
            </w:r>
          </w:p>
          <w:p w:rsidR="00907649" w:rsidRPr="00DE5653" w:rsidRDefault="00907649" w:rsidP="00E12C22">
            <w:pPr>
              <w:spacing w:line="216" w:lineRule="auto"/>
              <w:rPr>
                <w:rFonts w:asciiTheme="majorBidi" w:hAnsiTheme="majorBidi" w:cstheme="majorBidi"/>
                <w:bCs/>
                <w:sz w:val="18"/>
                <w:szCs w:val="18"/>
                <w:rtl/>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ChIP and RT-qPCR</w:t>
            </w:r>
          </w:p>
        </w:tc>
        <w:tc>
          <w:tcPr>
            <w:tcW w:w="2126" w:type="dxa"/>
          </w:tcPr>
          <w:p w:rsidR="00907649" w:rsidRPr="000F2E0B" w:rsidRDefault="00907649" w:rsidP="00E12C22">
            <w:pPr>
              <w:jc w:val="center"/>
              <w:rPr>
                <w:rFonts w:asciiTheme="majorBidi" w:hAnsiTheme="majorBidi" w:cstheme="majorBidi"/>
                <w:bCs/>
                <w:sz w:val="28"/>
                <w:szCs w:val="28"/>
              </w:rPr>
            </w:pPr>
            <w:r w:rsidRPr="000F2E0B">
              <w:rPr>
                <w:rFonts w:asciiTheme="majorBidi" w:hAnsiTheme="majorBidi" w:cstheme="majorBidi"/>
                <w:bCs/>
                <w:sz w:val="28"/>
                <w:szCs w:val="28"/>
              </w:rPr>
              <w:t>-</w:t>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1</w:t>
            </w:r>
            <w:r w:rsidRPr="00AB3438">
              <w:rPr>
                <w:rFonts w:asciiTheme="majorBidi" w:hAnsiTheme="majorBidi" w:cstheme="majorBidi" w:hint="cs"/>
                <w:b/>
                <w:sz w:val="18"/>
                <w:szCs w:val="18"/>
                <w:rtl/>
              </w:rPr>
              <w:t>1</w:t>
            </w:r>
            <w:r w:rsidRPr="00DE5653">
              <w:rPr>
                <w:rFonts w:asciiTheme="majorBidi" w:hAnsiTheme="majorBidi" w:cstheme="majorBidi"/>
                <w:bCs/>
                <w:sz w:val="18"/>
                <w:szCs w:val="18"/>
              </w:rPr>
              <w:t xml:space="preserve">q </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CCAGCTGCCAGCAGTCGG</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TTGCTCGCAGTATAGTGG</w:t>
            </w:r>
          </w:p>
          <w:p w:rsidR="00907649" w:rsidRPr="00DE5653" w:rsidRDefault="00907649" w:rsidP="00E12C22">
            <w:pPr>
              <w:spacing w:line="216" w:lineRule="auto"/>
              <w:rPr>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 xml:space="preserve">ChIP </w:t>
            </w:r>
          </w:p>
        </w:tc>
        <w:tc>
          <w:tcPr>
            <w:tcW w:w="2126" w:type="dxa"/>
          </w:tcPr>
          <w:p w:rsidR="00907649" w:rsidRPr="000F2E0B" w:rsidRDefault="00907649" w:rsidP="00E12C22">
            <w:pPr>
              <w:jc w:val="center"/>
              <w:rPr>
                <w:rFonts w:asciiTheme="majorBidi" w:hAnsiTheme="majorBidi" w:cstheme="majorBidi"/>
                <w:bCs/>
                <w:sz w:val="28"/>
                <w:szCs w:val="28"/>
              </w:rPr>
            </w:pPr>
            <w:r w:rsidRPr="000F2E0B">
              <w:rPr>
                <w:rFonts w:asciiTheme="majorBidi" w:hAnsiTheme="majorBidi" w:cstheme="majorBidi"/>
                <w:bCs/>
                <w:sz w:val="28"/>
                <w:szCs w:val="28"/>
              </w:rPr>
              <w:t>-</w:t>
            </w:r>
          </w:p>
        </w:tc>
      </w:tr>
      <w:tr w:rsidR="00907649" w:rsidRPr="00DE5653" w:rsidTr="00E12C22">
        <w:trPr>
          <w:trHeight w:val="579"/>
        </w:trPr>
        <w:tc>
          <w:tcPr>
            <w:tcW w:w="1838" w:type="dxa"/>
          </w:tcPr>
          <w:p w:rsidR="00907649"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11q</w:t>
            </w:r>
          </w:p>
          <w:p w:rsidR="00907649" w:rsidRPr="00A00790" w:rsidRDefault="00907649" w:rsidP="00E12C22">
            <w:pPr>
              <w:spacing w:line="216" w:lineRule="auto"/>
              <w:rPr>
                <w:rFonts w:asciiTheme="majorBidi" w:hAnsiTheme="majorBidi" w:cstheme="majorBidi"/>
                <w:sz w:val="18"/>
                <w:szCs w:val="18"/>
              </w:rPr>
            </w:pP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CTGATTATTCAGGGCTGCAAA</w:t>
            </w:r>
          </w:p>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R- GCCGCATCGACGGTGAATAA</w:t>
            </w: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RT-qPCR</w:t>
            </w:r>
          </w:p>
        </w:tc>
        <w:tc>
          <w:tcPr>
            <w:tcW w:w="2126" w:type="dxa"/>
          </w:tcPr>
          <w:p w:rsidR="00907649" w:rsidRPr="00704541" w:rsidRDefault="00907649" w:rsidP="00E12C22">
            <w:pPr>
              <w:jc w:val="center"/>
              <w:rPr>
                <w:rFonts w:asciiTheme="majorBidi" w:hAnsiTheme="majorBidi" w:cstheme="majorBidi"/>
                <w:bCs/>
                <w:sz w:val="18"/>
                <w:szCs w:val="18"/>
              </w:rPr>
            </w:pPr>
            <w:r w:rsidRPr="00704541">
              <w:rPr>
                <w:rFonts w:asciiTheme="majorBidi" w:hAnsiTheme="majorBidi" w:cstheme="majorBidi"/>
                <w:bCs/>
                <w:sz w:val="18"/>
                <w:szCs w:val="18"/>
              </w:rPr>
              <w:fldChar w:fldCharType="begin" w:fldLock="1"/>
            </w:r>
            <w:r>
              <w:rPr>
                <w:rFonts w:asciiTheme="majorBidi" w:hAnsiTheme="majorBidi" w:cstheme="majorBidi"/>
                <w:bCs/>
                <w:sz w:val="18"/>
                <w:szCs w:val="18"/>
              </w:rPr>
              <w:instrText>ADDIN CSL_CITATION {"citationItems":[{"id":"ITEM-1","itemData":{"DOI":"10.1038/nsmb.2364","ISBN":"1545-9985 (Electronic)\r1545-9985 (Linking)","PMID":"22922742","author":[{"dropping-particle":"","family":"Arnoult","given":"N","non-dropping-particle":"","parse-names":false,"suffix":""},{"dropping-particle":"","family":"Beneden","given":"A","non-dropping-particle":"Van","parse-names":false,"suffix":""},{"dropping-particle":"","family":"Decottignies","given":"A","non-dropping-particle":"","parse-names":false,"suffix":""}],"container-title":"Nat Struct Mol Biol","id":"ITEM-1","issue":"9","issued":{"date-parts":[["2012"]]},"page":"948-956","title":"Telomere length regulates TERRA levels through increased trimethylation of telomeric H3K9 and HP1alpha","type":"article-journal","volume":"19"},"uris":["http://www.mendeley.com/documents/?uuid=1c6e08e1-532e-46c3-aff8-f8a5d5ee0a3a"]}],"mendeley":{"formattedCitation":"(Arnoult, Van Beneden, and Decottignies 2012)","plainTextFormattedCitation":"(Arnoult, Van Beneden, and Decottignies 2012)","previouslyFormattedCitation":"(Arnoult, Van Beneden, and Decottignies 2012)"},"properties":{"noteIndex":0},"schema":"https://github.com/citation-style-language/schema/raw/master/csl-citation.json"}</w:instrText>
            </w:r>
            <w:r w:rsidRPr="00704541">
              <w:rPr>
                <w:rFonts w:asciiTheme="majorBidi" w:hAnsiTheme="majorBidi" w:cstheme="majorBidi"/>
                <w:bCs/>
                <w:sz w:val="18"/>
                <w:szCs w:val="18"/>
              </w:rPr>
              <w:fldChar w:fldCharType="separate"/>
            </w:r>
            <w:r w:rsidRPr="00704541">
              <w:rPr>
                <w:rFonts w:asciiTheme="majorBidi" w:hAnsiTheme="majorBidi" w:cstheme="majorBidi"/>
                <w:bCs/>
                <w:noProof/>
                <w:sz w:val="18"/>
                <w:szCs w:val="18"/>
              </w:rPr>
              <w:t>(Arnoult, Van Beneden, and Decottignies 2012)</w:t>
            </w:r>
            <w:r w:rsidRPr="00704541">
              <w:rPr>
                <w:rFonts w:asciiTheme="majorBidi" w:hAnsiTheme="majorBidi" w:cstheme="majorBidi"/>
                <w:bCs/>
                <w:sz w:val="18"/>
                <w:szCs w:val="18"/>
              </w:rPr>
              <w:fldChar w:fldCharType="end"/>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7q</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TTCAGACGGGCTTTTGGTTT</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ATGGTGAATACAATCCTTTCTGTTTG</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ChIP and RT-qPCR</w:t>
            </w:r>
          </w:p>
        </w:tc>
        <w:tc>
          <w:tcPr>
            <w:tcW w:w="2126" w:type="dxa"/>
          </w:tcPr>
          <w:p w:rsidR="00907649" w:rsidRPr="00704541" w:rsidRDefault="00907649" w:rsidP="00E12C22">
            <w:pPr>
              <w:jc w:val="center"/>
              <w:rPr>
                <w:rFonts w:asciiTheme="majorBidi" w:hAnsiTheme="majorBidi" w:cstheme="majorBidi"/>
                <w:bCs/>
                <w:sz w:val="18"/>
                <w:szCs w:val="18"/>
              </w:rPr>
            </w:pPr>
            <w:r w:rsidRPr="00704541">
              <w:rPr>
                <w:rFonts w:asciiTheme="majorBidi" w:hAnsiTheme="majorBidi" w:cstheme="majorBidi"/>
                <w:bCs/>
                <w:sz w:val="18"/>
                <w:szCs w:val="18"/>
              </w:rPr>
              <w:fldChar w:fldCharType="begin" w:fldLock="1"/>
            </w:r>
            <w:r>
              <w:rPr>
                <w:rFonts w:asciiTheme="majorBidi" w:hAnsiTheme="majorBidi" w:cstheme="majorBidi"/>
                <w:bCs/>
                <w:sz w:val="18"/>
                <w:szCs w:val="18"/>
              </w:rPr>
              <w:instrText>ADDIN CSL_CITATION {"citationItems":[{"id":"ITEM-1","itemData":{"DOI":"10.1038/ncomms14015","ISBN":"2041-1723 (Electronic)\r2041-1723 (Linking)","PMID":"28117327","abstract":"DNA:RNA hybrids, nucleic acid structures with diverse physiological functions, can disrupt genome integrity when dysregulated. Human telomeres were shown to form hybrids with the lncRNA TERRA, yet the formation and distribution of these hybrids among telomeres, their regulation and their cellular effects remain elusive. Here we predict and confirm in several human cell types that DNA:RNA hybrids form at many subtelomeric and telomeric regions. We demonstrate that ICF syndrome cells, which exhibit short telomeres and elevated TERRA levels, are enriched for hybrids at telomeric regions throughout the cell cycle. Telomeric hybrids are associated with high levels of DNA damage at chromosome ends in ICF cells, which are significantly reduced with overexpression of RNase H1. Our findings suggest that abnormally high TERRA levels in ICF syndrome lead to accumulation of telomeric hybrids that, in turn, can result in telomeric dysfunction.","author":[{"dropping-particle":"","family":"Sagie","given":"S","non-dropping-particle":"","parse-names":false,"suffix":""},{"dropping-particle":"","family":"Toubiana","given":"S","non-dropping-particle":"","parse-names":false,"suffix":""},{"dropping-particle":"","family":"Hartono","given":"S R","non-dropping-particle":"","parse-names":false,"suffix":""},{"dropping-particle":"","family":"Katzir","given":"H","non-dropping-particle":"","parse-names":false,"suffix":""},{"dropping-particle":"","family":"Tzur-Gilat","given":"A","non-dropping-particle":"","parse-names":false,"suffix":""},{"dropping-particle":"","family":"Havazelet","given":"S","non-dropping-particle":"","parse-names":false,"suffix":""},{"dropping-particle":"","family":"Francastel","given":"C","non-dropping-particle":"","parse-names":false,"suffix":""},{"dropping-particle":"","family":"Velasco","given":"G","non-dropping-particle":"","parse-names":false,"suffix":""},{"dropping-particle":"","family":"Chedin","given":"F","non-dropping-particle":"","parse-names":false,"suffix":""},{"dropping-particle":"","family":"Selig","given":"S","non-dropping-particle":"","parse-names":false,"suffix":""}],"container-title":"Nat Commun","id":"ITEM-1","issued":{"date-parts":[["2017"]]},"note":"Sagie, Shira\nToubiana, Shir\nHartono, Stella R\nKatzir, Hagar\nTzur-Gilat, Aya\nHavazelet, Shany\nFrancastel, Claire\nVelasco, Guillaume\nChedin, Frederic\nSelig, Sara\neng\nR01 GM094299/GM/NIGMS NIH HHS/\nEngland\n2017/01/25 06:00\nNat Commun. 2017 Jan 24;8:14015. doi: 10.1038/ncomms14015.","page":"14015","title":"Telomeres in ICF syndrome cells are vulnerable to DNA damage due to elevated DNA:RNA hybrids","type":"article-journal","volume":"8"},"uris":["http://www.mendeley.com/documents/?uuid=af19df43-23ae-439b-a092-d2ac113f8263"]}],"mendeley":{"formattedCitation":"(Sagie, Toubiana, et al. 2017)","plainTextFormattedCitation":"(Sagie, Toubiana, et al. 2017)","previouslyFormattedCitation":"(Sagie, Toubiana, et al. 2017)"},"properties":{"noteIndex":0},"schema":"https://github.com/citation-style-language/schema/raw/master/csl-citation.json"}</w:instrText>
            </w:r>
            <w:r w:rsidRPr="00704541">
              <w:rPr>
                <w:rFonts w:asciiTheme="majorBidi" w:hAnsiTheme="majorBidi" w:cstheme="majorBidi"/>
                <w:bCs/>
                <w:sz w:val="18"/>
                <w:szCs w:val="18"/>
              </w:rPr>
              <w:fldChar w:fldCharType="separate"/>
            </w:r>
            <w:r w:rsidRPr="00A40FFB">
              <w:rPr>
                <w:rFonts w:asciiTheme="majorBidi" w:hAnsiTheme="majorBidi" w:cstheme="majorBidi"/>
                <w:bCs/>
                <w:noProof/>
                <w:sz w:val="18"/>
                <w:szCs w:val="18"/>
              </w:rPr>
              <w:t>(Sagie, Toubiana, et al. 2017)</w:t>
            </w:r>
            <w:r w:rsidRPr="00704541">
              <w:rPr>
                <w:rFonts w:asciiTheme="majorBidi" w:hAnsiTheme="majorBidi" w:cstheme="majorBidi"/>
                <w:bCs/>
                <w:sz w:val="18"/>
                <w:szCs w:val="18"/>
              </w:rPr>
              <w:fldChar w:fldCharType="end"/>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9p</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GGGCGCATTAACGGTGAATA</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CCGCACTGAACCGCTCTAAC</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RT-qPCR</w:t>
            </w:r>
          </w:p>
        </w:tc>
        <w:tc>
          <w:tcPr>
            <w:tcW w:w="2126" w:type="dxa"/>
          </w:tcPr>
          <w:p w:rsidR="00907649" w:rsidRPr="00704541" w:rsidRDefault="00907649" w:rsidP="00E12C22">
            <w:pPr>
              <w:jc w:val="center"/>
              <w:rPr>
                <w:rFonts w:asciiTheme="majorBidi" w:hAnsiTheme="majorBidi" w:cstheme="majorBidi"/>
                <w:bCs/>
                <w:sz w:val="18"/>
                <w:szCs w:val="18"/>
              </w:rPr>
            </w:pPr>
            <w:r w:rsidRPr="00704541">
              <w:rPr>
                <w:rFonts w:asciiTheme="majorBidi" w:hAnsiTheme="majorBidi" w:cstheme="majorBidi"/>
                <w:bCs/>
                <w:sz w:val="18"/>
                <w:szCs w:val="18"/>
              </w:rPr>
              <w:fldChar w:fldCharType="begin" w:fldLock="1"/>
            </w:r>
            <w:r>
              <w:rPr>
                <w:rFonts w:asciiTheme="majorBidi" w:hAnsiTheme="majorBidi" w:cstheme="majorBidi"/>
                <w:bCs/>
                <w:sz w:val="18"/>
                <w:szCs w:val="18"/>
              </w:rPr>
              <w:instrText>ADDIN CSL_CITATION {"citationItems":[{"id":"ITEM-1","itemData":{"DOI":"10.1038/ncomms14015","ISBN":"2041-1723 (Electronic)\r2041-1723 (Linking)","PMID":"28117327","abstract":"DNA:RNA hybrids, nucleic acid structures with diverse physiological functions, can disrupt genome integrity when dysregulated. Human telomeres were shown to form hybrids with the lncRNA TERRA, yet the formation and distribution of these hybrids among telomeres, their regulation and their cellular effects remain elusive. Here we predict and confirm in several human cell types that DNA:RNA hybrids form at many subtelomeric and telomeric regions. We demonstrate that ICF syndrome cells, which exhibit short telomeres and elevated TERRA levels, are enriched for hybrids at telomeric regions throughout the cell cycle. Telomeric hybrids are associated with high levels of DNA damage at chromosome ends in ICF cells, which are significantly reduced with overexpression of RNase H1. Our findings suggest that abnormally high TERRA levels in ICF syndrome lead to accumulation of telomeric hybrids that, in turn, can result in telomeric dysfunction.","author":[{"dropping-particle":"","family":"Sagie","given":"S","non-dropping-particle":"","parse-names":false,"suffix":""},{"dropping-particle":"","family":"Toubiana","given":"S","non-dropping-particle":"","parse-names":false,"suffix":""},{"dropping-particle":"","family":"Hartono","given":"S R","non-dropping-particle":"","parse-names":false,"suffix":""},{"dropping-particle":"","family":"Katzir","given":"H","non-dropping-particle":"","parse-names":false,"suffix":""},{"dropping-particle":"","family":"Tzur-Gilat","given":"A","non-dropping-particle":"","parse-names":false,"suffix":""},{"dropping-particle":"","family":"Havazelet","given":"S","non-dropping-particle":"","parse-names":false,"suffix":""},{"dropping-particle":"","family":"Francastel","given":"C","non-dropping-particle":"","parse-names":false,"suffix":""},{"dropping-particle":"","family":"Velasco","given":"G","non-dropping-particle":"","parse-names":false,"suffix":""},{"dropping-particle":"","family":"Chedin","given":"F","non-dropping-particle":"","parse-names":false,"suffix":""},{"dropping-particle":"","family":"Selig","given":"S","non-dropping-particle":"","parse-names":false,"suffix":""}],"container-title":"Nat Commun","id":"ITEM-1","issued":{"date-parts":[["2017"]]},"note":"Sagie, Shira\nToubiana, Shir\nHartono, Stella R\nKatzir, Hagar\nTzur-Gilat, Aya\nHavazelet, Shany\nFrancastel, Claire\nVelasco, Guillaume\nChedin, Frederic\nSelig, Sara\neng\nR01 GM094299/GM/NIGMS NIH HHS/\nEngland\n2017/01/25 06:00\nNat Commun. 2017 Jan 24;8:14015. doi: 10.1038/ncomms14015.","page":"14015","title":"Telomeres in ICF syndrome cells are vulnerable to DNA damage due to elevated DNA:RNA hybrids","type":"article-journal","volume":"8"},"uris":["http://www.mendeley.com/documents/?uuid=af19df43-23ae-439b-a092-d2ac113f8263"]}],"mendeley":{"formattedCitation":"(Sagie, Toubiana, et al. 2017)","plainTextFormattedCitation":"(Sagie, Toubiana, et al. 2017)","previouslyFormattedCitation":"(Sagie, Toubiana, et al. 2017)"},"properties":{"noteIndex":0},"schema":"https://github.com/citation-style-language/schema/raw/master/csl-citation.json"}</w:instrText>
            </w:r>
            <w:r w:rsidRPr="00704541">
              <w:rPr>
                <w:rFonts w:asciiTheme="majorBidi" w:hAnsiTheme="majorBidi" w:cstheme="majorBidi"/>
                <w:bCs/>
                <w:sz w:val="18"/>
                <w:szCs w:val="18"/>
              </w:rPr>
              <w:fldChar w:fldCharType="separate"/>
            </w:r>
            <w:r w:rsidRPr="00A40FFB">
              <w:rPr>
                <w:rFonts w:asciiTheme="majorBidi" w:hAnsiTheme="majorBidi" w:cstheme="majorBidi"/>
                <w:bCs/>
                <w:noProof/>
                <w:sz w:val="18"/>
                <w:szCs w:val="18"/>
              </w:rPr>
              <w:t>(Sagie, Toubiana, et al. 2017)</w:t>
            </w:r>
            <w:r w:rsidRPr="00704541">
              <w:rPr>
                <w:rFonts w:asciiTheme="majorBidi" w:hAnsiTheme="majorBidi" w:cstheme="majorBidi"/>
                <w:bCs/>
                <w:sz w:val="18"/>
                <w:szCs w:val="18"/>
              </w:rPr>
              <w:fldChar w:fldCharType="end"/>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15p</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AACCCTAACCACATGAGCAACG</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CTCGCCTTAGCTTGGGAG</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RT-qPCR</w:t>
            </w:r>
          </w:p>
        </w:tc>
        <w:tc>
          <w:tcPr>
            <w:tcW w:w="2126" w:type="dxa"/>
          </w:tcPr>
          <w:p w:rsidR="00907649" w:rsidRPr="000F2E0B" w:rsidRDefault="00907649" w:rsidP="00E12C22">
            <w:pPr>
              <w:jc w:val="center"/>
              <w:rPr>
                <w:rFonts w:asciiTheme="majorBidi" w:hAnsiTheme="majorBidi" w:cstheme="majorBidi"/>
                <w:bCs/>
                <w:sz w:val="28"/>
                <w:szCs w:val="28"/>
              </w:rPr>
            </w:pPr>
            <w:r w:rsidRPr="000F2E0B">
              <w:rPr>
                <w:rFonts w:asciiTheme="majorBidi" w:hAnsiTheme="majorBidi" w:cstheme="majorBidi"/>
                <w:bCs/>
                <w:sz w:val="28"/>
                <w:szCs w:val="28"/>
              </w:rPr>
              <w:t>-</w:t>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bCs/>
                <w:sz w:val="18"/>
                <w:szCs w:val="18"/>
              </w:rPr>
            </w:pPr>
            <w:r>
              <w:rPr>
                <w:rFonts w:asciiTheme="majorBidi" w:hAnsiTheme="majorBidi" w:cstheme="majorBidi"/>
                <w:bCs/>
                <w:sz w:val="18"/>
                <w:szCs w:val="18"/>
              </w:rPr>
              <w:t xml:space="preserve">Subtelomere </w:t>
            </w:r>
            <w:r w:rsidRPr="00DE5653">
              <w:rPr>
                <w:rFonts w:asciiTheme="majorBidi" w:hAnsiTheme="majorBidi" w:cstheme="majorBidi"/>
                <w:bCs/>
                <w:sz w:val="18"/>
                <w:szCs w:val="18"/>
              </w:rPr>
              <w:t>19q</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 CTATTGCGAAGGCGGAGC</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 xml:space="preserve">R </w:t>
            </w:r>
            <w:r>
              <w:rPr>
                <w:rFonts w:asciiTheme="majorBidi" w:hAnsiTheme="majorBidi" w:cstheme="majorBidi"/>
                <w:bCs/>
                <w:sz w:val="18"/>
                <w:szCs w:val="18"/>
              </w:rPr>
              <w:t>–</w:t>
            </w:r>
            <w:r w:rsidRPr="00DE5653">
              <w:rPr>
                <w:rFonts w:asciiTheme="majorBidi" w:hAnsiTheme="majorBidi" w:cstheme="majorBidi"/>
                <w:bCs/>
                <w:sz w:val="18"/>
                <w:szCs w:val="18"/>
              </w:rPr>
              <w:t> CCCCAACCCCAACCCCAACGGC</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ChIP and RT-qPCR</w:t>
            </w:r>
          </w:p>
        </w:tc>
        <w:tc>
          <w:tcPr>
            <w:tcW w:w="2126" w:type="dxa"/>
          </w:tcPr>
          <w:p w:rsidR="00907649" w:rsidRPr="000F2E0B" w:rsidRDefault="00907649" w:rsidP="00E12C22">
            <w:pPr>
              <w:jc w:val="center"/>
              <w:rPr>
                <w:rFonts w:asciiTheme="majorBidi" w:hAnsiTheme="majorBidi" w:cstheme="majorBidi"/>
                <w:bCs/>
                <w:sz w:val="28"/>
                <w:szCs w:val="28"/>
              </w:rPr>
            </w:pPr>
            <w:r w:rsidRPr="000F2E0B">
              <w:rPr>
                <w:rFonts w:asciiTheme="majorBidi" w:hAnsiTheme="majorBidi" w:cstheme="majorBidi"/>
                <w:bCs/>
                <w:sz w:val="28"/>
                <w:szCs w:val="28"/>
              </w:rPr>
              <w:t>-</w:t>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sz w:val="18"/>
                <w:szCs w:val="18"/>
              </w:rPr>
            </w:pPr>
            <w:r w:rsidRPr="00DE5653">
              <w:rPr>
                <w:rFonts w:ascii="Symbol" w:hAnsi="Symbol" w:cstheme="majorBidi"/>
                <w:sz w:val="18"/>
                <w:szCs w:val="18"/>
              </w:rPr>
              <w:t></w:t>
            </w:r>
            <w:r w:rsidRPr="00DE5653">
              <w:rPr>
                <w:rFonts w:asciiTheme="majorBidi" w:hAnsiTheme="majorBidi" w:cstheme="majorBidi"/>
                <w:sz w:val="18"/>
                <w:szCs w:val="18"/>
              </w:rPr>
              <w:t>-actin</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TGTACGCCAACACAGTGCTG</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GCTGGAAGGTGGACAGCGA</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Normalizing gene for</w:t>
            </w:r>
          </w:p>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RT-qPCR</w:t>
            </w:r>
          </w:p>
        </w:tc>
        <w:tc>
          <w:tcPr>
            <w:tcW w:w="2126" w:type="dxa"/>
          </w:tcPr>
          <w:p w:rsidR="00907649" w:rsidRPr="000F2E0B" w:rsidRDefault="00907649" w:rsidP="00E12C22">
            <w:pPr>
              <w:jc w:val="center"/>
              <w:rPr>
                <w:rFonts w:asciiTheme="majorBidi" w:hAnsiTheme="majorBidi" w:cstheme="majorBidi"/>
                <w:bCs/>
                <w:sz w:val="28"/>
                <w:szCs w:val="28"/>
              </w:rPr>
            </w:pPr>
            <w:r w:rsidRPr="000F2E0B">
              <w:rPr>
                <w:rFonts w:asciiTheme="majorBidi" w:hAnsiTheme="majorBidi" w:cstheme="majorBidi"/>
                <w:bCs/>
                <w:sz w:val="28"/>
                <w:szCs w:val="28"/>
              </w:rPr>
              <w:t>-</w:t>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sz w:val="18"/>
                <w:szCs w:val="18"/>
              </w:rPr>
            </w:pPr>
            <w:r w:rsidRPr="00DE5653">
              <w:rPr>
                <w:rFonts w:asciiTheme="majorBidi" w:hAnsiTheme="majorBidi" w:cstheme="majorBidi"/>
                <w:sz w:val="18"/>
                <w:szCs w:val="18"/>
              </w:rPr>
              <w:t>Satellite 2</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AGTGGAATCATCTNRAATGGA</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CATTCGAGTCCATTCGATGATT</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ChIP</w:t>
            </w:r>
          </w:p>
        </w:tc>
        <w:tc>
          <w:tcPr>
            <w:tcW w:w="2126" w:type="dxa"/>
          </w:tcPr>
          <w:p w:rsidR="00907649" w:rsidRPr="000F2E0B" w:rsidRDefault="00907649" w:rsidP="00E12C22">
            <w:pPr>
              <w:jc w:val="center"/>
              <w:rPr>
                <w:rFonts w:asciiTheme="majorBidi" w:hAnsiTheme="majorBidi" w:cstheme="majorBidi"/>
                <w:bCs/>
                <w:sz w:val="28"/>
                <w:szCs w:val="28"/>
              </w:rPr>
            </w:pPr>
            <w:r w:rsidRPr="000F2E0B">
              <w:rPr>
                <w:rFonts w:asciiTheme="majorBidi" w:hAnsiTheme="majorBidi" w:cstheme="majorBidi"/>
                <w:bCs/>
                <w:sz w:val="28"/>
                <w:szCs w:val="28"/>
              </w:rPr>
              <w:t>-</w:t>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sz w:val="18"/>
                <w:szCs w:val="18"/>
              </w:rPr>
            </w:pPr>
            <w:r w:rsidRPr="00DE5653">
              <w:rPr>
                <w:rFonts w:asciiTheme="majorBidi" w:hAnsiTheme="majorBidi" w:cstheme="majorBidi"/>
                <w:sz w:val="18"/>
                <w:szCs w:val="18"/>
              </w:rPr>
              <w:t>Hoxa 7 TSS</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TACTCACCTCCCCTTTCCCA</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GTACCCTGCTCAGCTCCATC</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Negative control region for H3K4me3 ChIP</w:t>
            </w:r>
          </w:p>
        </w:tc>
        <w:tc>
          <w:tcPr>
            <w:tcW w:w="2126" w:type="dxa"/>
          </w:tcPr>
          <w:p w:rsidR="00907649" w:rsidRPr="000F2E0B" w:rsidRDefault="00907649" w:rsidP="00E12C22">
            <w:pPr>
              <w:jc w:val="center"/>
              <w:rPr>
                <w:rFonts w:asciiTheme="majorBidi" w:hAnsiTheme="majorBidi" w:cstheme="majorBidi"/>
                <w:bCs/>
                <w:sz w:val="28"/>
                <w:szCs w:val="28"/>
              </w:rPr>
            </w:pPr>
            <w:r w:rsidRPr="000F2E0B">
              <w:rPr>
                <w:rFonts w:asciiTheme="majorBidi" w:hAnsiTheme="majorBidi" w:cstheme="majorBidi"/>
                <w:bCs/>
                <w:sz w:val="28"/>
                <w:szCs w:val="28"/>
              </w:rPr>
              <w:t>-</w:t>
            </w:r>
          </w:p>
        </w:tc>
      </w:tr>
      <w:tr w:rsidR="00907649" w:rsidRPr="00DE5653" w:rsidTr="00E12C22">
        <w:trPr>
          <w:trHeight w:val="204"/>
        </w:trPr>
        <w:tc>
          <w:tcPr>
            <w:tcW w:w="1838" w:type="dxa"/>
          </w:tcPr>
          <w:p w:rsidR="00907649" w:rsidRPr="00DE5653" w:rsidRDefault="00907649" w:rsidP="00E12C22">
            <w:pPr>
              <w:spacing w:line="216" w:lineRule="auto"/>
              <w:rPr>
                <w:rFonts w:asciiTheme="majorBidi" w:hAnsiTheme="majorBidi" w:cstheme="majorBidi"/>
                <w:sz w:val="18"/>
                <w:szCs w:val="18"/>
              </w:rPr>
            </w:pPr>
            <w:r w:rsidRPr="00DE5653">
              <w:rPr>
                <w:rFonts w:asciiTheme="majorBidi" w:hAnsiTheme="majorBidi" w:cstheme="majorBidi"/>
                <w:sz w:val="18"/>
                <w:szCs w:val="18"/>
              </w:rPr>
              <w:t>GAPDH promoter</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AAAGCCCGCACCAACCAT</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AGTCCCTGACCCTGCCTTTC</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sz w:val="18"/>
                <w:szCs w:val="18"/>
              </w:rPr>
            </w:pPr>
            <w:r w:rsidRPr="00DE5653">
              <w:rPr>
                <w:rFonts w:asciiTheme="majorBidi" w:hAnsiTheme="majorBidi" w:cstheme="majorBidi"/>
                <w:bCs/>
                <w:sz w:val="18"/>
                <w:szCs w:val="18"/>
              </w:rPr>
              <w:t>Negative control region for H3K9me3</w:t>
            </w:r>
            <w:r w:rsidRPr="00DE5653">
              <w:rPr>
                <w:sz w:val="18"/>
                <w:szCs w:val="18"/>
              </w:rPr>
              <w:t xml:space="preserve"> </w:t>
            </w:r>
            <w:r w:rsidRPr="00DE5653">
              <w:rPr>
                <w:rFonts w:asciiTheme="majorBidi" w:hAnsiTheme="majorBidi" w:cstheme="majorBidi"/>
                <w:bCs/>
                <w:sz w:val="18"/>
                <w:szCs w:val="18"/>
              </w:rPr>
              <w:t>ChIP</w:t>
            </w:r>
          </w:p>
        </w:tc>
        <w:tc>
          <w:tcPr>
            <w:tcW w:w="2126" w:type="dxa"/>
          </w:tcPr>
          <w:p w:rsidR="00907649" w:rsidRPr="000F2E0B" w:rsidRDefault="00907649" w:rsidP="00E12C22">
            <w:pPr>
              <w:jc w:val="center"/>
              <w:rPr>
                <w:rFonts w:asciiTheme="majorBidi" w:hAnsiTheme="majorBidi" w:cstheme="majorBidi"/>
                <w:bCs/>
                <w:sz w:val="28"/>
                <w:szCs w:val="28"/>
              </w:rPr>
            </w:pPr>
            <w:r w:rsidRPr="000F2E0B">
              <w:rPr>
                <w:rFonts w:asciiTheme="majorBidi" w:hAnsiTheme="majorBidi" w:cstheme="majorBidi"/>
                <w:bCs/>
                <w:sz w:val="28"/>
                <w:szCs w:val="28"/>
              </w:rPr>
              <w:t>-</w:t>
            </w:r>
          </w:p>
        </w:tc>
      </w:tr>
      <w:tr w:rsidR="00907649" w:rsidRPr="00DE5653" w:rsidTr="00E12C22">
        <w:trPr>
          <w:trHeight w:val="55"/>
        </w:trPr>
        <w:tc>
          <w:tcPr>
            <w:tcW w:w="1838" w:type="dxa"/>
          </w:tcPr>
          <w:p w:rsidR="00907649" w:rsidRPr="00DE5653" w:rsidRDefault="00907649" w:rsidP="00E12C22">
            <w:pPr>
              <w:spacing w:line="216" w:lineRule="auto"/>
              <w:rPr>
                <w:rFonts w:asciiTheme="majorBidi" w:hAnsiTheme="majorBidi" w:cstheme="majorBidi"/>
                <w:sz w:val="18"/>
                <w:szCs w:val="18"/>
              </w:rPr>
            </w:pPr>
            <w:r w:rsidRPr="00DE5653">
              <w:rPr>
                <w:rFonts w:asciiTheme="majorBidi" w:hAnsiTheme="majorBidi" w:cstheme="majorBidi"/>
                <w:sz w:val="18"/>
                <w:szCs w:val="18"/>
              </w:rPr>
              <w:t>Myoglobin exon2</w:t>
            </w:r>
          </w:p>
        </w:tc>
        <w:tc>
          <w:tcPr>
            <w:tcW w:w="3827" w:type="dxa"/>
          </w:tcPr>
          <w:p w:rsidR="00907649" w:rsidRPr="00DE5653" w:rsidRDefault="00907649" w:rsidP="00E12C22">
            <w:pPr>
              <w:spacing w:line="216" w:lineRule="auto"/>
              <w:rPr>
                <w:rFonts w:asciiTheme="majorBidi" w:hAnsiTheme="majorBidi" w:cstheme="majorBidi"/>
                <w:bCs/>
                <w:sz w:val="18"/>
                <w:szCs w:val="18"/>
              </w:rPr>
            </w:pPr>
            <w:r w:rsidRPr="00DE5653">
              <w:rPr>
                <w:rFonts w:asciiTheme="majorBidi" w:hAnsiTheme="majorBidi" w:cstheme="majorBidi"/>
                <w:bCs/>
                <w:sz w:val="18"/>
                <w:szCs w:val="18"/>
              </w:rPr>
              <w:t>F- GTGCCAGGGGCTTAATCT</w:t>
            </w:r>
          </w:p>
          <w:p w:rsidR="00907649" w:rsidRDefault="00907649" w:rsidP="00E12C22">
            <w:pPr>
              <w:spacing w:line="216" w:lineRule="auto"/>
              <w:rPr>
                <w:rFonts w:asciiTheme="majorBidi" w:hAnsiTheme="majorBidi" w:cstheme="majorBidi"/>
                <w:bCs/>
                <w:sz w:val="18"/>
                <w:szCs w:val="18"/>
                <w:rtl/>
              </w:rPr>
            </w:pPr>
            <w:r w:rsidRPr="00DE5653">
              <w:rPr>
                <w:rFonts w:asciiTheme="majorBidi" w:hAnsiTheme="majorBidi" w:cstheme="majorBidi"/>
                <w:bCs/>
                <w:sz w:val="18"/>
                <w:szCs w:val="18"/>
              </w:rPr>
              <w:t>R- GCGTCTGAGGACTTAAAGAAGC</w:t>
            </w:r>
          </w:p>
          <w:p w:rsidR="00907649" w:rsidRPr="00DE5653" w:rsidRDefault="00907649" w:rsidP="00E12C22">
            <w:pPr>
              <w:spacing w:line="216" w:lineRule="auto"/>
              <w:rPr>
                <w:rFonts w:asciiTheme="majorBidi" w:hAnsiTheme="majorBidi" w:cstheme="majorBidi"/>
                <w:bCs/>
                <w:sz w:val="18"/>
                <w:szCs w:val="18"/>
              </w:rPr>
            </w:pPr>
          </w:p>
        </w:tc>
        <w:tc>
          <w:tcPr>
            <w:tcW w:w="2127" w:type="dxa"/>
          </w:tcPr>
          <w:p w:rsidR="00907649" w:rsidRPr="00DE5653" w:rsidRDefault="00907649" w:rsidP="00E12C22">
            <w:pPr>
              <w:spacing w:line="216" w:lineRule="auto"/>
              <w:rPr>
                <w:sz w:val="18"/>
                <w:szCs w:val="18"/>
              </w:rPr>
            </w:pPr>
            <w:r w:rsidRPr="00DE5653">
              <w:rPr>
                <w:rFonts w:asciiTheme="majorBidi" w:hAnsiTheme="majorBidi" w:cstheme="majorBidi"/>
                <w:bCs/>
                <w:sz w:val="18"/>
                <w:szCs w:val="18"/>
              </w:rPr>
              <w:t>Negative control region for H3K36me3</w:t>
            </w:r>
            <w:r w:rsidRPr="00DE5653">
              <w:rPr>
                <w:sz w:val="18"/>
                <w:szCs w:val="18"/>
              </w:rPr>
              <w:t xml:space="preserve"> </w:t>
            </w:r>
            <w:r w:rsidRPr="00DE5653">
              <w:rPr>
                <w:rFonts w:asciiTheme="majorBidi" w:hAnsiTheme="majorBidi" w:cstheme="majorBidi"/>
                <w:bCs/>
                <w:sz w:val="18"/>
                <w:szCs w:val="18"/>
              </w:rPr>
              <w:t>ChIP</w:t>
            </w:r>
          </w:p>
        </w:tc>
        <w:tc>
          <w:tcPr>
            <w:tcW w:w="2126" w:type="dxa"/>
          </w:tcPr>
          <w:p w:rsidR="00907649" w:rsidRPr="00704541" w:rsidRDefault="00907649" w:rsidP="00E12C22">
            <w:pPr>
              <w:jc w:val="center"/>
              <w:rPr>
                <w:rFonts w:asciiTheme="majorBidi" w:hAnsiTheme="majorBidi" w:cstheme="majorBidi"/>
                <w:bCs/>
                <w:sz w:val="18"/>
                <w:szCs w:val="18"/>
              </w:rPr>
            </w:pPr>
            <w:r w:rsidRPr="00704541">
              <w:rPr>
                <w:rFonts w:asciiTheme="majorBidi" w:hAnsiTheme="majorBidi" w:cstheme="majorBidi"/>
                <w:bCs/>
                <w:sz w:val="18"/>
                <w:szCs w:val="18"/>
              </w:rPr>
              <w:fldChar w:fldCharType="begin" w:fldLock="1"/>
            </w:r>
            <w:r>
              <w:rPr>
                <w:rFonts w:asciiTheme="majorBidi" w:hAnsiTheme="majorBidi" w:cstheme="majorBidi"/>
                <w:bCs/>
                <w:sz w:val="18"/>
                <w:szCs w:val="18"/>
              </w:rPr>
              <w:instrText>ADDIN CSL_CITATION {"citationItems":[{"id":"ITEM-1","itemData":{"DOI":"10.1093/nar/gkx163","ISSN":"0305-1048","PMID":"28334849","abstract":"Hypomorphic mutations in DNA-methyltransferase DNMT3B cause majority of the rare disorder Immunodeficiency, Centromere instability and Facial anomalies syndrome cases (ICF1). By unspecified mechanisms, mutant-DNMT3B interferes with lymphoid-specific pathways resulting in immune response defects. Interestingly, recent findings report that DNMT3B shapes intragenic CpG-methylation of highly-transcribed genes. However, how the DNMT3B-dependent epigenetic network modulates transcription and whether ICF1-specific mutations impair this process remains unknown. We performed a transcriptomic and epigenomic study in patient-derived B-cell lines to investigate the genome-scale effects of DNMT3B dysfunction. We highlighted that altered intragenic CpG-methylation impairs multiple aspects of transcriptional regulation, like alternative TSS usage, antisense transcription and exon splicing. These defects preferentially associate with changes of intragenic H3K4me3 and at lesser extent of H3K27me3 and H3K36me3. In addition, we highlighted a novel DNMT3B activity in modulating the self-regulatory circuit of sense-antisense pairs and the exon skipping during alternative splicing, through interacting with RNA molecules. Strikingly, altered transcription affects disease relevant genes, as for instance the memory-B cell marker CD27 and PTPRC genes, providing us with biological insights into the ICF1-syndrome pathogenesis. Our genome-scale approach sheds light on the mechanisms still poorly understood of the intragenic function of DNMT3B and DNA methylation in gene expression regulation.","author":[{"dropping-particle":"","family":"Gatto","given":"Sole","non-dropping-particle":"","parse-names":false,"suffix":""},{"dropping-particle":"","family":"Gagliardi","given":"Miriam","non-dropping-particle":"","parse-names":false,"suffix":""},{"dropping-particle":"","family":"Franzese","given":"Monica","non-dropping-particle":"","parse-names":false,"suffix":""},{"dropping-particle":"","family":"Leppert","given":"Sylwia","non-dropping-particle":"","parse-names":false,"suffix":""},{"dropping-particle":"","family":"Papa","given":"Mariarosaria","non-dropping-particle":"","parse-names":false,"suffix":""},{"dropping-particle":"","family":"Cammisa","given":"Marco","non-dropping-particle":"","parse-names":false,"suffix":""},{"dropping-particle":"","family":"Grillo","given":"Giacomo","non-dropping-particle":"","parse-names":false,"suffix":""},{"dropping-particle":"","family":"Velasco","given":"Guillame","non-dropping-particle":"","parse-names":false,"suffix":""},{"dropping-particle":"","family":"Francastel","given":"Claire","non-dropping-particle":"","parse-names":false,"suffix":""},{"dropping-particle":"","family":"Toubiana","given":"Shir","non-dropping-particle":"","parse-names":false,"suffix":""},{"dropping-particle":"","family":"D’Esposito","given":"Maurizio","non-dropping-particle":"","parse-names":false,"suffix":""},{"dropping-particle":"","family":"Angelini","given":"Claudia","non-dropping-particle":"","parse-names":false,"suffix":""},{"dropping-particle":"","family":"Matarazzo","given":"Maria R.","non-dropping-particle":"","parse-names":false,"suffix":""}],"container-title":"Nucleic Acids Research","id":"ITEM-1","issue":"10","issued":{"date-parts":[["2017","6","2"]]},"page":"5739-5756","title":"ICF-specific DNMT3B dysfunction interferes with intragenic regulation of mRNA transcription and alternative splicing","type":"article-journal","volume":"45"},"uris":["http://www.mendeley.com/documents/?uuid=7b2473f2-db32-37bd-a0aa-18c25c2be8d7"]}],"mendeley":{"formattedCitation":"(Gatto et al. 2017)","plainTextFormattedCitation":"(Gatto et al. 2017)","previouslyFormattedCitation":"(Gatto et al. 2017)"},"properties":{"noteIndex":0},"schema":"https://github.com/citation-style-language/schema/raw/master/csl-citation.json"}</w:instrText>
            </w:r>
            <w:r w:rsidRPr="00704541">
              <w:rPr>
                <w:rFonts w:asciiTheme="majorBidi" w:hAnsiTheme="majorBidi" w:cstheme="majorBidi"/>
                <w:bCs/>
                <w:sz w:val="18"/>
                <w:szCs w:val="18"/>
              </w:rPr>
              <w:fldChar w:fldCharType="separate"/>
            </w:r>
            <w:r w:rsidRPr="00704541">
              <w:rPr>
                <w:rFonts w:asciiTheme="majorBidi" w:hAnsiTheme="majorBidi" w:cstheme="majorBidi"/>
                <w:bCs/>
                <w:noProof/>
                <w:sz w:val="18"/>
                <w:szCs w:val="18"/>
              </w:rPr>
              <w:t>(Gatto et al. 2017)</w:t>
            </w:r>
            <w:r w:rsidRPr="00704541">
              <w:rPr>
                <w:rFonts w:asciiTheme="majorBidi" w:hAnsiTheme="majorBidi" w:cstheme="majorBidi"/>
                <w:bCs/>
                <w:sz w:val="18"/>
                <w:szCs w:val="18"/>
              </w:rPr>
              <w:fldChar w:fldCharType="end"/>
            </w:r>
          </w:p>
        </w:tc>
      </w:tr>
    </w:tbl>
    <w:p w:rsidR="00907649" w:rsidRDefault="00907649" w:rsidP="00907649">
      <w:pPr>
        <w:spacing w:line="360" w:lineRule="auto"/>
        <w:ind w:right="26"/>
        <w:rPr>
          <w:rFonts w:asciiTheme="majorBidi" w:eastAsia="Times New Roman" w:hAnsiTheme="majorBidi" w:cstheme="majorBidi"/>
          <w:sz w:val="28"/>
          <w:szCs w:val="28"/>
        </w:rPr>
      </w:pPr>
    </w:p>
    <w:p w:rsidR="00907649" w:rsidRDefault="00907649" w:rsidP="00907649">
      <w:pPr>
        <w:tabs>
          <w:tab w:val="left" w:pos="9020"/>
        </w:tabs>
        <w:spacing w:line="480" w:lineRule="auto"/>
        <w:ind w:right="26"/>
        <w:rPr>
          <w:rFonts w:asciiTheme="majorBidi" w:hAnsiTheme="majorBidi" w:cstheme="majorBidi"/>
        </w:rPr>
      </w:pPr>
    </w:p>
    <w:p w:rsidR="00907649" w:rsidRDefault="00907649" w:rsidP="00377CA3">
      <w:pPr>
        <w:spacing w:line="360" w:lineRule="auto"/>
      </w:pPr>
    </w:p>
    <w:sectPr w:rsidR="00907649" w:rsidSect="00BA3086">
      <w:footerReference w:type="even" r:id="rId6"/>
      <w:foot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8AF" w:rsidRDefault="00BF08AF" w:rsidP="00907649">
      <w:r>
        <w:separator/>
      </w:r>
    </w:p>
  </w:endnote>
  <w:endnote w:type="continuationSeparator" w:id="0">
    <w:p w:rsidR="00BF08AF" w:rsidRDefault="00BF08AF" w:rsidP="0090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9951545"/>
      <w:docPartObj>
        <w:docPartGallery w:val="Page Numbers (Bottom of Page)"/>
        <w:docPartUnique/>
      </w:docPartObj>
    </w:sdtPr>
    <w:sdtEndPr>
      <w:rPr>
        <w:rStyle w:val="PageNumber"/>
      </w:rPr>
    </w:sdtEndPr>
    <w:sdtContent>
      <w:p w:rsidR="00907649" w:rsidRDefault="00907649" w:rsidP="00BA30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07649" w:rsidRDefault="00907649" w:rsidP="009076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113941"/>
      <w:docPartObj>
        <w:docPartGallery w:val="Page Numbers (Bottom of Page)"/>
        <w:docPartUnique/>
      </w:docPartObj>
    </w:sdtPr>
    <w:sdtEndPr>
      <w:rPr>
        <w:rStyle w:val="PageNumber"/>
      </w:rPr>
    </w:sdtEndPr>
    <w:sdtContent>
      <w:p w:rsidR="00907649" w:rsidRDefault="00907649" w:rsidP="00BA30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07649" w:rsidRDefault="00907649" w:rsidP="009076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8AF" w:rsidRDefault="00BF08AF" w:rsidP="00907649">
      <w:r>
        <w:separator/>
      </w:r>
    </w:p>
  </w:footnote>
  <w:footnote w:type="continuationSeparator" w:id="0">
    <w:p w:rsidR="00BF08AF" w:rsidRDefault="00BF08AF" w:rsidP="00907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2D"/>
    <w:rsid w:val="000B2CE3"/>
    <w:rsid w:val="00124BD8"/>
    <w:rsid w:val="00303202"/>
    <w:rsid w:val="00377CA3"/>
    <w:rsid w:val="00500A71"/>
    <w:rsid w:val="00720B2D"/>
    <w:rsid w:val="0073479B"/>
    <w:rsid w:val="00771D24"/>
    <w:rsid w:val="00837255"/>
    <w:rsid w:val="00907649"/>
    <w:rsid w:val="00A243F7"/>
    <w:rsid w:val="00B547E0"/>
    <w:rsid w:val="00BA3086"/>
    <w:rsid w:val="00BD1809"/>
    <w:rsid w:val="00BF08AF"/>
    <w:rsid w:val="00C76EA6"/>
    <w:rsid w:val="00DA1AA1"/>
    <w:rsid w:val="00E2058A"/>
    <w:rsid w:val="00F919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84DFD39"/>
  <w15:chartTrackingRefBased/>
  <w15:docId w15:val="{02736FC2-D4C0-9E49-A8BE-1AC1D1B1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6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07649"/>
    <w:pPr>
      <w:tabs>
        <w:tab w:val="center" w:pos="4680"/>
        <w:tab w:val="right" w:pos="9360"/>
      </w:tabs>
    </w:pPr>
  </w:style>
  <w:style w:type="character" w:customStyle="1" w:styleId="FooterChar">
    <w:name w:val="Footer Char"/>
    <w:basedOn w:val="DefaultParagraphFont"/>
    <w:link w:val="Footer"/>
    <w:uiPriority w:val="99"/>
    <w:rsid w:val="00907649"/>
  </w:style>
  <w:style w:type="character" w:styleId="PageNumber">
    <w:name w:val="page number"/>
    <w:basedOn w:val="DefaultParagraphFont"/>
    <w:uiPriority w:val="99"/>
    <w:semiHidden/>
    <w:unhideWhenUsed/>
    <w:rsid w:val="00907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3477</Words>
  <Characters>19821</Characters>
  <Application>Microsoft Office Word</Application>
  <DocSecurity>0</DocSecurity>
  <Lines>165</Lines>
  <Paragraphs>46</Paragraphs>
  <ScaleCrop>false</ScaleCrop>
  <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Selig</dc:creator>
  <cp:keywords/>
  <dc:description/>
  <cp:lastModifiedBy>Sara Selig</cp:lastModifiedBy>
  <cp:revision>2</cp:revision>
  <dcterms:created xsi:type="dcterms:W3CDTF">2019-10-27T05:29:00Z</dcterms:created>
  <dcterms:modified xsi:type="dcterms:W3CDTF">2019-10-27T05:29:00Z</dcterms:modified>
</cp:coreProperties>
</file>