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49" w:rsidRDefault="00907649" w:rsidP="00907649">
      <w:pPr>
        <w:rPr>
          <w:rFonts w:asciiTheme="majorBidi" w:hAnsiTheme="majorBidi" w:cstheme="majorBidi"/>
          <w:b/>
          <w:bCs/>
        </w:rPr>
      </w:pPr>
    </w:p>
    <w:p w:rsidR="00907649" w:rsidRDefault="00907649" w:rsidP="00907649">
      <w:pPr>
        <w:ind w:right="26"/>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Supplementary </w:t>
      </w:r>
      <w:r w:rsidR="00BA3086">
        <w:rPr>
          <w:rFonts w:ascii="Times New Roman" w:eastAsia="Times New Roman" w:hAnsi="Times New Roman" w:cs="Times New Roman"/>
          <w:b/>
          <w:bCs/>
          <w:color w:val="000000"/>
        </w:rPr>
        <w:t>Table</w:t>
      </w:r>
      <w:bookmarkStart w:id="0" w:name="_GoBack"/>
      <w:bookmarkEnd w:id="0"/>
      <w:r>
        <w:rPr>
          <w:rFonts w:ascii="Times New Roman" w:eastAsia="Times New Roman" w:hAnsi="Times New Roman" w:cs="Times New Roman"/>
          <w:b/>
          <w:bCs/>
          <w:color w:val="000000"/>
        </w:rPr>
        <w:t xml:space="preserve"> 3.</w:t>
      </w:r>
    </w:p>
    <w:p w:rsidR="00907649" w:rsidRDefault="00907649" w:rsidP="00907649">
      <w:pPr>
        <w:ind w:right="26"/>
        <w:rPr>
          <w:rFonts w:ascii="Times New Roman" w:eastAsia="Times New Roman" w:hAnsi="Times New Roman" w:cs="Times New Roman"/>
          <w:color w:val="000000"/>
          <w:rtl/>
        </w:rPr>
      </w:pPr>
    </w:p>
    <w:p w:rsidR="00907649" w:rsidRDefault="00907649" w:rsidP="00907649">
      <w:pPr>
        <w:outlineLvl w:val="0"/>
        <w:rPr>
          <w:rFonts w:asciiTheme="majorBidi" w:hAnsiTheme="majorBidi" w:cstheme="majorBidi"/>
          <w:b/>
        </w:rPr>
      </w:pPr>
      <w:r w:rsidRPr="00CA6BDD">
        <w:rPr>
          <w:rFonts w:asciiTheme="majorBidi" w:hAnsiTheme="majorBidi" w:cstheme="majorBidi"/>
          <w:b/>
        </w:rPr>
        <w:t xml:space="preserve">Primers for RT-qPCR and ChIP analyses </w:t>
      </w:r>
    </w:p>
    <w:p w:rsidR="00907649" w:rsidRPr="00CA6BDD" w:rsidRDefault="00907649" w:rsidP="00907649">
      <w:pPr>
        <w:outlineLvl w:val="0"/>
        <w:rPr>
          <w:rFonts w:asciiTheme="majorBidi" w:hAnsiTheme="majorBidi" w:cstheme="majorBidi"/>
          <w:b/>
        </w:rPr>
      </w:pPr>
    </w:p>
    <w:tbl>
      <w:tblPr>
        <w:tblStyle w:val="TableGrid"/>
        <w:tblW w:w="9918" w:type="dxa"/>
        <w:tblLook w:val="04A0" w:firstRow="1" w:lastRow="0" w:firstColumn="1" w:lastColumn="0" w:noHBand="0" w:noVBand="1"/>
      </w:tblPr>
      <w:tblGrid>
        <w:gridCol w:w="1838"/>
        <w:gridCol w:w="3827"/>
        <w:gridCol w:w="2127"/>
        <w:gridCol w:w="2126"/>
      </w:tblGrid>
      <w:tr w:rsidR="00907649" w:rsidRPr="00DE5653" w:rsidTr="00E12C22">
        <w:trPr>
          <w:trHeight w:val="257"/>
        </w:trPr>
        <w:tc>
          <w:tcPr>
            <w:tcW w:w="1838" w:type="dxa"/>
          </w:tcPr>
          <w:p w:rsidR="00907649" w:rsidRDefault="00907649" w:rsidP="00E12C22">
            <w:pPr>
              <w:rPr>
                <w:rFonts w:asciiTheme="majorBidi" w:hAnsiTheme="majorBidi" w:cstheme="majorBidi"/>
                <w:b/>
                <w:bCs/>
                <w:sz w:val="18"/>
                <w:szCs w:val="18"/>
              </w:rPr>
            </w:pPr>
            <w:r w:rsidRPr="00DE5653">
              <w:rPr>
                <w:rFonts w:asciiTheme="majorBidi" w:hAnsiTheme="majorBidi" w:cstheme="majorBidi"/>
                <w:b/>
                <w:bCs/>
                <w:sz w:val="18"/>
                <w:szCs w:val="18"/>
              </w:rPr>
              <w:t xml:space="preserve">Referred to in </w:t>
            </w:r>
          </w:p>
          <w:p w:rsidR="00907649" w:rsidRPr="00DE5653" w:rsidRDefault="00907649" w:rsidP="00E12C22">
            <w:pPr>
              <w:rPr>
                <w:rFonts w:asciiTheme="majorBidi" w:hAnsiTheme="majorBidi" w:cstheme="majorBidi"/>
                <w:bCs/>
                <w:sz w:val="18"/>
                <w:szCs w:val="18"/>
              </w:rPr>
            </w:pPr>
            <w:r w:rsidRPr="00DE5653">
              <w:rPr>
                <w:rFonts w:asciiTheme="majorBidi" w:hAnsiTheme="majorBidi" w:cstheme="majorBidi"/>
                <w:b/>
                <w:bCs/>
                <w:sz w:val="18"/>
                <w:szCs w:val="18"/>
              </w:rPr>
              <w:t>this paper as</w:t>
            </w:r>
            <w:r>
              <w:rPr>
                <w:rFonts w:asciiTheme="majorBidi" w:hAnsiTheme="majorBidi" w:cstheme="majorBidi"/>
                <w:b/>
                <w:bCs/>
                <w:sz w:val="18"/>
                <w:szCs w:val="18"/>
              </w:rPr>
              <w:t>:</w:t>
            </w:r>
          </w:p>
        </w:tc>
        <w:tc>
          <w:tcPr>
            <w:tcW w:w="3827" w:type="dxa"/>
          </w:tcPr>
          <w:p w:rsidR="00907649" w:rsidRPr="00DE5653" w:rsidRDefault="00907649" w:rsidP="00E12C22">
            <w:pPr>
              <w:jc w:val="center"/>
              <w:rPr>
                <w:rFonts w:asciiTheme="majorBidi" w:hAnsiTheme="majorBidi" w:cstheme="majorBidi"/>
                <w:bCs/>
                <w:sz w:val="18"/>
                <w:szCs w:val="18"/>
              </w:rPr>
            </w:pPr>
            <w:r w:rsidRPr="00DE5653">
              <w:rPr>
                <w:rFonts w:asciiTheme="majorBidi" w:hAnsiTheme="majorBidi" w:cstheme="majorBidi"/>
                <w:b/>
                <w:bCs/>
                <w:sz w:val="18"/>
                <w:szCs w:val="18"/>
              </w:rPr>
              <w:t>Primer sequence</w:t>
            </w:r>
          </w:p>
        </w:tc>
        <w:tc>
          <w:tcPr>
            <w:tcW w:w="2127" w:type="dxa"/>
          </w:tcPr>
          <w:p w:rsidR="00907649" w:rsidRPr="00DE5653" w:rsidRDefault="00907649" w:rsidP="00E12C22">
            <w:pPr>
              <w:jc w:val="center"/>
              <w:rPr>
                <w:rFonts w:asciiTheme="majorBidi" w:hAnsiTheme="majorBidi" w:cstheme="majorBidi"/>
                <w:bCs/>
                <w:sz w:val="18"/>
                <w:szCs w:val="18"/>
              </w:rPr>
            </w:pPr>
            <w:r w:rsidRPr="00DE5653">
              <w:rPr>
                <w:rFonts w:asciiTheme="majorBidi" w:hAnsiTheme="majorBidi" w:cstheme="majorBidi"/>
                <w:b/>
                <w:bCs/>
                <w:sz w:val="18"/>
                <w:szCs w:val="18"/>
              </w:rPr>
              <w:t>Use of these primers</w:t>
            </w:r>
          </w:p>
        </w:tc>
        <w:tc>
          <w:tcPr>
            <w:tcW w:w="2126" w:type="dxa"/>
          </w:tcPr>
          <w:p w:rsidR="00907649" w:rsidRPr="00DE5653" w:rsidRDefault="00907649" w:rsidP="00E12C22">
            <w:pPr>
              <w:jc w:val="center"/>
              <w:rPr>
                <w:rFonts w:asciiTheme="majorBidi" w:hAnsiTheme="majorBidi" w:cstheme="majorBidi"/>
                <w:b/>
                <w:bCs/>
                <w:sz w:val="18"/>
                <w:szCs w:val="18"/>
              </w:rPr>
            </w:pPr>
            <w:r w:rsidRPr="00DE5653">
              <w:rPr>
                <w:rFonts w:asciiTheme="majorBidi" w:hAnsiTheme="majorBidi" w:cstheme="majorBidi"/>
                <w:b/>
                <w:bCs/>
                <w:sz w:val="18"/>
                <w:szCs w:val="18"/>
              </w:rPr>
              <w:t>Previous references</w:t>
            </w:r>
          </w:p>
        </w:tc>
      </w:tr>
      <w:tr w:rsidR="00907649" w:rsidRPr="00DE5653" w:rsidTr="00E12C22">
        <w:trPr>
          <w:trHeight w:val="195"/>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2p-P</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GTGGAACCTCAATAATCCGAAAA</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GGACACCACTGTAAGCAAGATAGC</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w:t>
            </w:r>
            <w:r>
              <w:rPr>
                <w:rFonts w:asciiTheme="majorBidi" w:hAnsiTheme="majorBidi" w:cstheme="majorBidi"/>
                <w:bCs/>
                <w:sz w:val="18"/>
                <w:szCs w:val="18"/>
              </w:rPr>
              <w:t xml:space="preserve"> </w:t>
            </w:r>
          </w:p>
        </w:tc>
        <w:tc>
          <w:tcPr>
            <w:tcW w:w="2126" w:type="dxa"/>
          </w:tcPr>
          <w:p w:rsidR="00907649" w:rsidRPr="00DE5653" w:rsidRDefault="00907649" w:rsidP="00E12C22">
            <w:pPr>
              <w:jc w:val="center"/>
              <w:rPr>
                <w:rFonts w:asciiTheme="majorBidi" w:hAnsiTheme="majorBidi" w:cstheme="majorBidi"/>
                <w:bCs/>
                <w:sz w:val="18"/>
                <w:szCs w:val="18"/>
              </w:rPr>
            </w:pPr>
            <w:r w:rsidRPr="00DE5653">
              <w:rPr>
                <w:rFonts w:asciiTheme="majorBidi" w:hAnsiTheme="majorBidi" w:cstheme="majorBidi"/>
                <w:bCs/>
                <w:sz w:val="18"/>
                <w:szCs w:val="18"/>
              </w:rPr>
              <w:t>-</w:t>
            </w:r>
          </w:p>
        </w:tc>
      </w:tr>
      <w:tr w:rsidR="00907649" w:rsidRPr="00DE5653" w:rsidTr="00E12C22">
        <w:trPr>
          <w:trHeight w:val="195"/>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 xml:space="preserve">2p-D </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CGCATCGACGGTGAATAAAA</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GCCTAACTCGTGTCTGACTTTGAG</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 and RT-qPCR</w:t>
            </w:r>
          </w:p>
        </w:tc>
        <w:tc>
          <w:tcPr>
            <w:tcW w:w="2126" w:type="dxa"/>
          </w:tcPr>
          <w:p w:rsidR="00907649" w:rsidRPr="000F2E0B" w:rsidRDefault="00907649" w:rsidP="00E12C22">
            <w:pPr>
              <w:jc w:val="center"/>
              <w:rPr>
                <w:rFonts w:asciiTheme="majorBidi" w:hAnsiTheme="majorBidi" w:cstheme="majorBidi"/>
                <w:bCs/>
                <w:sz w:val="28"/>
                <w:szCs w:val="28"/>
              </w:rPr>
            </w:pPr>
            <w:r w:rsidRPr="00704541">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{"citationItems":[{"id":"ITEM-1","itemData":{"DOI":"10.1038/ncomms14015","ISBN":"2041-1723 (Electronic)\r2041-1723 (Linking)","PMID":"28117327","abstract":"DNA:RNA hybrids, nucleic acid structures with diverse physiological functions, can disrupt genome integrity when dysregulated. Human telomeres were shown to form hybrids with the lncRNA TERRA, yet the formation and distribution of these hybrids among telomeres, their regulation and their cellular effects remain elusive. Here we predict and confirm in several human cell types that DNA:RNA hybrids form at many subtelomeric and telomeric regions. We demonstrate that ICF syndrome cells, which exhibit short telomeres and elevated TERRA levels, are enriched for hybrids at telomeric regions throughout the cell cycle. Telomeric hybrids are associated with high levels of DNA damage at chromosome ends in ICF cells, which are significantly reduced with overexpression of RNase H1. Our findings suggest that abnormally high TERRA levels in ICF syndrome lead to accumulation of telomeric hybrids that, in turn, can result in telomeric dysfunction.","author":[{"dropping-particle":"","family":"Sagie","given":"S","non-dropping-particle":"","parse-names":false,"suffix":""},{"dropping-particle":"","family":"Toubiana","given":"S","non-dropping-particle":"","parse-names":false,"suffix":""},{"dropping-particle":"","family":"Hartono","given":"S R","non-dropping-particle":"","parse-names":false,"suffix":""},{"dropping-particle":"","family":"Katzir","given":"H","non-dropping-particle":"","parse-names":false,"suffix":""},{"dropping-particle":"","family":"Tzur-Gilat","given":"A","non-dropping-particle":"","parse-names":false,"suffix":""},{"dropping-particle":"","family":"Havazelet","given":"S","non-dropping-particle":"","parse-names":false,"suffix":""},{"dropping-particle":"","family":"Francastel","given":"C","non-dropping-particle":"","parse-names":false,"suffix":""},{"dropping-particle":"","family":"Velasco","given":"G","non-dropping-particle":"","parse-names":false,"suffix":""},{"dropping-particle":"","family":"Chedin","given":"F","non-dropping-particle":"","parse-names":false,"suffix":""},{"dropping-particle":"","family":"Selig","given":"S","non-dropping-particle":"","parse-names":false,"suffix":""}],"container-title":"Nat Commun","id":"ITEM-1","issued":{"date-parts":[["2017"]]},"note":"Sagie, Shira\nToubiana, Shir\nHartono, Stella R\nKatzir, Hagar\nTzur-Gilat, Aya\nHavazelet, Shany\nFrancastel, Claire\nVelasco, Guillaume\nChedin, Frederic\nSelig, Sara\neng\nR01 GM094299/GM/NIGMS NIH HHS/\nEngland\n2017/01/25 06:00\nNat Commun. 2017 Jan 24;8:14015. doi: 10.1038/ncomms14015.","page":"14015","title":"Telomeres in ICF syndrome cells are vulnerable to DNA damage due to elevated DNA:RNA hybrids","type":"article-journal","volume":"8"},"uris":["http://www.mendeley.com/documents/?uuid=af19df43-23ae-439b-a092-d2ac113f8263"]}],"mendeley":{"formattedCitation":"(Sagie, Toubiana, et al. 2017)","plainTextFormattedCitation":"(Sagie, Toubiana, et al. 2017)","previouslyFormattedCitation":"(Sagie, Toubiana, et al. 2017)"},"properties":{"noteIndex":0},"schema":"https://github.com/citation-style-language/schema/raw/master/csl-citation.json"}</w:instrText>
            </w:r>
            <w:r w:rsidRPr="00704541">
              <w:rPr>
                <w:rFonts w:asciiTheme="majorBidi" w:hAnsiTheme="majorBidi" w:cstheme="majorBidi"/>
                <w:bCs/>
                <w:sz w:val="18"/>
                <w:szCs w:val="18"/>
              </w:rPr>
              <w:fldChar w:fldCharType="separate"/>
            </w:r>
            <w:r w:rsidRPr="00A40FFB">
              <w:rPr>
                <w:rFonts w:asciiTheme="majorBidi" w:hAnsiTheme="majorBidi" w:cstheme="majorBidi"/>
                <w:bCs/>
                <w:noProof/>
                <w:sz w:val="18"/>
                <w:szCs w:val="18"/>
              </w:rPr>
              <w:t>(Sagie, Toubiana, et al. 2017)</w:t>
            </w:r>
            <w:r w:rsidRPr="00704541">
              <w:rPr>
                <w:rFonts w:asciiTheme="majorBidi" w:hAnsiTheme="majorBidi" w:cstheme="majorBidi"/>
                <w:bCs/>
                <w:sz w:val="18"/>
                <w:szCs w:val="18"/>
              </w:rPr>
              <w:fldChar w:fldCharType="end"/>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5p-P</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TGGCACAGCATCGTAGACAAG</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TGGAACCTCAGCAATCTGAAAA</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195"/>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5p-D</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GAGTGCATTAGCATACAGGT</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TCCTAATGCACACGTAACAC</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 and RT-qPCR</w:t>
            </w:r>
          </w:p>
        </w:tc>
        <w:tc>
          <w:tcPr>
            <w:tcW w:w="2126" w:type="dxa"/>
          </w:tcPr>
          <w:p w:rsidR="00907649" w:rsidRPr="000F2E0B" w:rsidRDefault="00907649" w:rsidP="00E12C22">
            <w:pPr>
              <w:jc w:val="center"/>
              <w:rPr>
                <w:rFonts w:asciiTheme="majorBidi" w:hAnsiTheme="majorBidi" w:cstheme="majorBidi"/>
                <w:bCs/>
                <w:sz w:val="28"/>
                <w:szCs w:val="28"/>
              </w:rPr>
            </w:pPr>
            <w:r w:rsidRPr="00704541">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{"citationItems":[{"id":"ITEM-1","itemData":{"DOI":"10.1038/ncomms14015","ISBN":"2041-1723 (Electronic)\r2041-1723 (Linking)","PMID":"28117327","abstract":"DNA:RNA hybrids, nucleic acid structures with diverse physiological functions, can disrupt genome integrity when dysregulated. Human telomeres were shown to form hybrids with the lncRNA TERRA, yet the formation and distribution of these hybrids among telomeres, their regulation and their cellular effects remain elusive. Here we predict and confirm in several human cell types that DNA:RNA hybrids form at many subtelomeric and telomeric regions. We demonstrate that ICF syndrome cells, which exhibit short telomeres and elevated TERRA levels, are enriched for hybrids at telomeric regions throughout the cell cycle. Telomeric hybrids are associated with high levels of DNA damage at chromosome ends in ICF cells, which are significantly reduced with overexpression of RNase H1. Our findings suggest that abnormally high TERRA levels in ICF syndrome lead to accumulation of telomeric hybrids that, in turn, can result in telomeric dysfunction.","author":[{"dropping-particle":"","family":"Sagie","given":"S","non-dropping-particle":"","parse-names":false,"suffix":""},{"dropping-particle":"","family":"Toubiana","given":"S","non-dropping-particle":"","parse-names":false,"suffix":""},{"dropping-particle":"","family":"Hartono","given":"S R","non-dropping-particle":"","parse-names":false,"suffix":""},{"dropping-particle":"","family":"Katzir","given":"H","non-dropping-particle":"","parse-names":false,"suffix":""},{"dropping-particle":"","family":"Tzur-Gilat","given":"A","non-dropping-particle":"","parse-names":false,"suffix":""},{"dropping-particle":"","family":"Havazelet","given":"S","non-dropping-particle":"","parse-names":false,"suffix":""},{"dropping-particle":"","family":"Francastel","given":"C","non-dropping-particle":"","parse-names":false,"suffix":""},{"dropping-particle":"","family":"Velasco","given":"G","non-dropping-particle":"","parse-names":false,"suffix":""},{"dropping-particle":"","family":"Chedin","given":"F","non-dropping-particle":"","parse-names":false,"suffix":""},{"dropping-particle":"","family":"Selig","given":"S","non-dropping-particle":"","parse-names":false,"suffix":""}],"container-title":"Nat Commun","id":"ITEM-1","issued":{"date-parts":[["2017"]]},"note":"Sagie, Shira\nToubiana, Shir\nHartono, Stella R\nKatzir, Hagar\nTzur-Gilat, Aya\nHavazelet, Shany\nFrancastel, Claire\nVelasco, Guillaume\nChedin, Frederic\nSelig, Sara\neng\nR01 GM094299/GM/NIGMS NIH HHS/\nEngland\n2017/01/25 06:00\nNat Commun. 2017 Jan 24;8:14015. doi: 10.1038/ncomms14015.","page":"14015","title":"Telomeres in ICF syndrome cells are vulnerable to DNA damage due to elevated DNA:RNA hybrids","type":"article-journal","volume":"8"},"uris":["http://www.mendeley.com/documents/?uuid=af19df43-23ae-439b-a092-d2ac113f8263"]}],"mendeley":{"formattedCitation":"(Sagie, Toubiana, et al. 2017)","plainTextFormattedCitation":"(Sagie, Toubiana, et al. 2017)","previouslyFormattedCitation":"(Sagie, Toubiana, et al. 2017)"},"properties":{"noteIndex":0},"schema":"https://github.com/citation-style-language/schema/raw/master/csl-citation.json"}</w:instrText>
            </w:r>
            <w:r w:rsidRPr="00704541">
              <w:rPr>
                <w:rFonts w:asciiTheme="majorBidi" w:hAnsiTheme="majorBidi" w:cstheme="majorBidi"/>
                <w:bCs/>
                <w:sz w:val="18"/>
                <w:szCs w:val="18"/>
              </w:rPr>
              <w:fldChar w:fldCharType="separate"/>
            </w:r>
            <w:r w:rsidRPr="00A40FFB">
              <w:rPr>
                <w:rFonts w:asciiTheme="majorBidi" w:hAnsiTheme="majorBidi" w:cstheme="majorBidi"/>
                <w:bCs/>
                <w:noProof/>
                <w:sz w:val="18"/>
                <w:szCs w:val="18"/>
              </w:rPr>
              <w:t>(Sagie, Toubiana, et al. 2017)</w:t>
            </w:r>
            <w:r w:rsidRPr="00704541">
              <w:rPr>
                <w:rFonts w:asciiTheme="majorBidi" w:hAnsiTheme="majorBidi" w:cstheme="majorBidi"/>
                <w:bCs/>
                <w:sz w:val="18"/>
                <w:szCs w:val="18"/>
              </w:rPr>
              <w:fldChar w:fldCharType="end"/>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 xml:space="preserve">10q/13q/19q </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GGCGCTGGACACCACTGTA</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TGAGTAATCTGAAAAGCCCGTTT</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2q/10q/13q</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AACCTGAACCCTAACCCTCC</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ATTGCAGGGTTCAAGTGCAG</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 and RT-qPCR</w:t>
            </w:r>
          </w:p>
        </w:tc>
        <w:tc>
          <w:tcPr>
            <w:tcW w:w="2126" w:type="dxa"/>
          </w:tcPr>
          <w:p w:rsidR="00907649" w:rsidRPr="00704541" w:rsidRDefault="00907649" w:rsidP="00E12C22">
            <w:pPr>
              <w:jc w:val="center"/>
              <w:rPr>
                <w:rFonts w:asciiTheme="majorBidi" w:hAnsiTheme="majorBidi" w:cstheme="majorBidi"/>
                <w:bCs/>
                <w:sz w:val="18"/>
                <w:szCs w:val="18"/>
              </w:rPr>
            </w:pPr>
            <w:r w:rsidRPr="00704541">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{"citationItems":[{"id":"ITEM-1","itemData":{"DOI":"10.1038/ncomms14015","ISBN":"2041-1723 (Electronic)\r2041-1723 (Linking)","PMID":"28117327","abstract":"DNA:RNA hybrids, nucleic acid structures with diverse physiological functions, can disrupt genome integrity when dysregulated. Human telomeres were shown to form hybrids with the lncRNA TERRA, yet the formation and distribution of these hybrids among telomeres, their regulation and their cellular effects remain elusive. Here we predict and confirm in several human cell types that DNA:RNA hybrids form at many subtelomeric and telomeric regions. We demonstrate that ICF syndrome cells, which exhibit short telomeres and elevated TERRA levels, are enriched for hybrids at telomeric regions throughout the cell cycle. Telomeric hybrids are associated with high levels of DNA damage at chromosome ends in ICF cells, which are significantly reduced with overexpression of RNase H1. Our findings suggest that abnormally high TERRA levels in ICF syndrome lead to accumulation of telomeric hybrids that, in turn, can result in telomeric dysfunction.","author":[{"dropping-particle":"","family":"Sagie","given":"S","non-dropping-particle":"","parse-names":false,"suffix":""},{"dropping-particle":"","family":"Toubiana","given":"S","non-dropping-particle":"","parse-names":false,"suffix":""},{"dropping-particle":"","family":"Hartono","given":"S R","non-dropping-particle":"","parse-names":false,"suffix":""},{"dropping-particle":"","family":"Katzir","given":"H","non-dropping-particle":"","parse-names":false,"suffix":""},{"dropping-particle":"","family":"Tzur-Gilat","given":"A","non-dropping-particle":"","parse-names":false,"suffix":""},{"dropping-particle":"","family":"Havazelet","given":"S","non-dropping-particle":"","parse-names":false,"suffix":""},{"dropping-particle":"","family":"Francastel","given":"C","non-dropping-particle":"","parse-names":false,"suffix":""},{"dropping-particle":"","family":"Velasco","given":"G","non-dropping-particle":"","parse-names":false,"suffix":""},{"dropping-particle":"","family":"Chedin","given":"F","non-dropping-particle":"","parse-names":false,"suffix":""},{"dropping-particle":"","family":"Selig","given":"S","non-dropping-particle":"","parse-names":false,"suffix":""}],"container-title":"Nat Commun","id":"ITEM-1","issued":{"date-parts":[["2017"]]},"note":"Sagie, Shira\nToubiana, Shir\nHartono, Stella R\nKatzir, Hagar\nTzur-Gilat, Aya\nHavazelet, Shany\nFrancastel, Claire\nVelasco, Guillaume\nChedin, Frederic\nSelig, Sara\neng\nR01 GM094299/GM/NIGMS NIH HHS/\nEngland\n2017/01/25 06:00\nNat Commun. 2017 Jan 24;8:14015. doi: 10.1038/ncomms14015.","page":"14015","title":"Telomeres in ICF syndrome cells are vulnerable to DNA damage due to elevated DNA:RNA hybrids","type":"article-journal","volume":"8"},"uris":["http://www.mendeley.com/documents/?uuid=af19df43-23ae-439b-a092-d2ac113f8263"]}],"mendeley":{"formattedCitation":"(Sagie, Toubiana, et al. 2017)","plainTextFormattedCitation":"(Sagie, Toubiana, et al. 2017)","previouslyFormattedCitation":"(Sagie, Toubiana, et al. 2017)"},"properties":{"noteIndex":0},"schema":"https://github.com/citation-style-language/schema/raw/master/csl-citation.json"}</w:instrText>
            </w:r>
            <w:r w:rsidRPr="00704541">
              <w:rPr>
                <w:rFonts w:asciiTheme="majorBidi" w:hAnsiTheme="majorBidi" w:cstheme="majorBidi"/>
                <w:bCs/>
                <w:sz w:val="18"/>
                <w:szCs w:val="18"/>
              </w:rPr>
              <w:fldChar w:fldCharType="separate"/>
            </w:r>
            <w:r w:rsidRPr="00A40FFB">
              <w:rPr>
                <w:rFonts w:asciiTheme="majorBidi" w:hAnsiTheme="majorBidi" w:cstheme="majorBidi"/>
                <w:bCs/>
                <w:noProof/>
                <w:sz w:val="18"/>
                <w:szCs w:val="18"/>
              </w:rPr>
              <w:t>(Sagie, Toubiana, et al. 2017)</w:t>
            </w:r>
            <w:r w:rsidRPr="00704541">
              <w:rPr>
                <w:rFonts w:asciiTheme="majorBidi" w:hAnsiTheme="majorBidi" w:cstheme="majorBidi"/>
                <w:bCs/>
                <w:sz w:val="18"/>
                <w:szCs w:val="18"/>
              </w:rPr>
              <w:fldChar w:fldCharType="end"/>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10p/18p</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CCTTCTAACTGGACTCTGAC</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GCCACAGCGACGGTAAATAA</w:t>
            </w:r>
          </w:p>
          <w:p w:rsidR="00907649" w:rsidRPr="00DE5653" w:rsidRDefault="00907649" w:rsidP="00E12C22">
            <w:pPr>
              <w:spacing w:line="216" w:lineRule="auto"/>
              <w:rPr>
                <w:rFonts w:asciiTheme="majorBidi" w:hAnsiTheme="majorBidi" w:cstheme="majorBidi"/>
                <w:bCs/>
                <w:sz w:val="18"/>
                <w:szCs w:val="18"/>
                <w:rtl/>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 and RT-qPCR</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1</w:t>
            </w:r>
            <w:r w:rsidRPr="00AB3438">
              <w:rPr>
                <w:rFonts w:asciiTheme="majorBidi" w:hAnsiTheme="majorBidi" w:cstheme="majorBidi" w:hint="cs"/>
                <w:b/>
                <w:sz w:val="18"/>
                <w:szCs w:val="18"/>
                <w:rtl/>
              </w:rPr>
              <w:t>1</w:t>
            </w:r>
            <w:r w:rsidRPr="00DE5653">
              <w:rPr>
                <w:rFonts w:asciiTheme="majorBidi" w:hAnsiTheme="majorBidi" w:cstheme="majorBidi"/>
                <w:bCs/>
                <w:sz w:val="18"/>
                <w:szCs w:val="18"/>
              </w:rPr>
              <w:t xml:space="preserve">q </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CCAGCTGCCAGCAGTCGG</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TTGCTCGCAGTATAGTGG</w:t>
            </w:r>
          </w:p>
          <w:p w:rsidR="00907649" w:rsidRPr="00DE5653" w:rsidRDefault="00907649" w:rsidP="00E12C22">
            <w:pPr>
              <w:spacing w:line="216" w:lineRule="auto"/>
              <w:rPr>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 xml:space="preserve">ChIP </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579"/>
        </w:trPr>
        <w:tc>
          <w:tcPr>
            <w:tcW w:w="1838" w:type="dxa"/>
          </w:tcPr>
          <w:p w:rsidR="00907649"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11q</w:t>
            </w:r>
          </w:p>
          <w:p w:rsidR="00907649" w:rsidRPr="00A00790" w:rsidRDefault="00907649" w:rsidP="00E12C22">
            <w:pPr>
              <w:spacing w:line="216" w:lineRule="auto"/>
              <w:rPr>
                <w:rFonts w:asciiTheme="majorBidi" w:hAnsiTheme="majorBidi" w:cstheme="majorBidi"/>
                <w:sz w:val="18"/>
                <w:szCs w:val="18"/>
              </w:rPr>
            </w:pP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CTGATTATTCAGGGCTGCAAA</w:t>
            </w:r>
          </w:p>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R- GCCGCATCGACGGTGAATAA</w:t>
            </w: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RT-qPCR</w:t>
            </w:r>
          </w:p>
        </w:tc>
        <w:tc>
          <w:tcPr>
            <w:tcW w:w="2126" w:type="dxa"/>
          </w:tcPr>
          <w:p w:rsidR="00907649" w:rsidRPr="00704541" w:rsidRDefault="00907649" w:rsidP="00E12C22">
            <w:pPr>
              <w:jc w:val="center"/>
              <w:rPr>
                <w:rFonts w:asciiTheme="majorBidi" w:hAnsiTheme="majorBidi" w:cstheme="majorBidi"/>
                <w:bCs/>
                <w:sz w:val="18"/>
                <w:szCs w:val="18"/>
              </w:rPr>
            </w:pPr>
            <w:r w:rsidRPr="00704541">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{"citationItems":[{"id":"ITEM-1","itemData":{"DOI":"10.1038/nsmb.2364","ISBN":"1545-9985 (Electronic)\r1545-9985 (Linking)","PMID":"22922742","author":[{"dropping-particle":"","family":"Arnoult","given":"N","non-dropping-particle":"","parse-names":false,"suffix":""},{"dropping-particle":"","family":"Beneden","given":"A","non-dropping-particle":"Van","parse-names":false,"suffix":""},{"dropping-particle":"","family":"Decottignies","given":"A","non-dropping-particle":"","parse-names":false,"suffix":""}],"container-title":"Nat Struct Mol Biol","id":"ITEM-1","issue":"9","issued":{"date-parts":[["2012"]]},"page":"948-956","title":"Telomere length regulates TERRA levels through increased trimethylation of telomeric H3K9 and HP1alpha","type":"article-journal","volume":"19"},"uris":["http://www.mendeley.com/documents/?uuid=1c6e08e1-532e-46c3-aff8-f8a5d5ee0a3a"]}],"mendeley":{"formattedCitation":"(Arnoult, Van Beneden, and Decottignies 2012)","plainTextFormattedCitation":"(Arnoult, Van Beneden, and Decottignies 2012)","previouslyFormattedCitation":"(Arnoult, Van Beneden, and Decottignies 2012)"},"properties":{"noteIndex":0},"schema":"https://github.com/citation-style-language/schema/raw/master/csl-citation.json"}</w:instrText>
            </w:r>
            <w:r w:rsidRPr="00704541">
              <w:rPr>
                <w:rFonts w:asciiTheme="majorBidi" w:hAnsiTheme="majorBidi" w:cstheme="majorBidi"/>
                <w:bCs/>
                <w:sz w:val="18"/>
                <w:szCs w:val="18"/>
              </w:rPr>
              <w:fldChar w:fldCharType="separate"/>
            </w:r>
            <w:r w:rsidRPr="00704541">
              <w:rPr>
                <w:rFonts w:asciiTheme="majorBidi" w:hAnsiTheme="majorBidi" w:cstheme="majorBidi"/>
                <w:bCs/>
                <w:noProof/>
                <w:sz w:val="18"/>
                <w:szCs w:val="18"/>
              </w:rPr>
              <w:t>(Arnoult, Van Beneden, and Decottignies 2012)</w:t>
            </w:r>
            <w:r w:rsidRPr="00704541">
              <w:rPr>
                <w:rFonts w:asciiTheme="majorBidi" w:hAnsiTheme="majorBidi" w:cstheme="majorBidi"/>
                <w:bCs/>
                <w:sz w:val="18"/>
                <w:szCs w:val="18"/>
              </w:rPr>
              <w:fldChar w:fldCharType="end"/>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7q</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TTCAGACGGGCTTTTGGTTT</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ATGGTGAATACAATCCTTTCTGTTTG</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 and RT-qPCR</w:t>
            </w:r>
          </w:p>
        </w:tc>
        <w:tc>
          <w:tcPr>
            <w:tcW w:w="2126" w:type="dxa"/>
          </w:tcPr>
          <w:p w:rsidR="00907649" w:rsidRPr="00704541" w:rsidRDefault="00907649" w:rsidP="00E12C22">
            <w:pPr>
              <w:jc w:val="center"/>
              <w:rPr>
                <w:rFonts w:asciiTheme="majorBidi" w:hAnsiTheme="majorBidi" w:cstheme="majorBidi"/>
                <w:bCs/>
                <w:sz w:val="18"/>
                <w:szCs w:val="18"/>
              </w:rPr>
            </w:pPr>
            <w:r w:rsidRPr="00704541">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{"citationItems":[{"id":"ITEM-1","itemData":{"DOI":"10.1038/ncomms14015","ISBN":"2041-1723 (Electronic)\r2041-1723 (Linking)","PMID":"28117327","abstract":"DNA:RNA hybrids, nucleic acid structures with diverse physiological functions, can disrupt genome integrity when dysregulated. Human telomeres were shown to form hybrids with the lncRNA TERRA, yet the formation and distribution of these hybrids among telomeres, their regulation and their cellular effects remain elusive. Here we predict and confirm in several human cell types that DNA:RNA hybrids form at many subtelomeric and telomeric regions. We demonstrate that ICF syndrome cells, which exhibit short telomeres and elevated TERRA levels, are enriched for hybrids at telomeric regions throughout the cell cycle. Telomeric hybrids are associated with high levels of DNA damage at chromosome ends in ICF cells, which are significantly reduced with overexpression of RNase H1. Our findings suggest that abnormally high TERRA levels in ICF syndrome lead to accumulation of telomeric hybrids that, in turn, can result in telomeric dysfunction.","author":[{"dropping-particle":"","family":"Sagie","given":"S","non-dropping-particle":"","parse-names":false,"suffix":""},{"dropping-particle":"","family":"Toubiana","given":"S","non-dropping-particle":"","parse-names":false,"suffix":""},{"dropping-particle":"","family":"Hartono","given":"S R","non-dropping-particle":"","parse-names":false,"suffix":""},{"dropping-particle":"","family":"Katzir","given":"H","non-dropping-particle":"","parse-names":false,"suffix":""},{"dropping-particle":"","family":"Tzur-Gilat","given":"A","non-dropping-particle":"","parse-names":false,"suffix":""},{"dropping-particle":"","family":"Havazelet","given":"S","non-dropping-particle":"","parse-names":false,"suffix":""},{"dropping-particle":"","family":"Francastel","given":"C","non-dropping-particle":"","parse-names":false,"suffix":""},{"dropping-particle":"","family":"Velasco","given":"G","non-dropping-particle":"","parse-names":false,"suffix":""},{"dropping-particle":"","family":"Chedin","given":"F","non-dropping-particle":"","parse-names":false,"suffix":""},{"dropping-particle":"","family":"Selig","given":"S","non-dropping-particle":"","parse-names":false,"suffix":""}],"container-title":"Nat Commun","id":"ITEM-1","issued":{"date-parts":[["2017"]]},"note":"Sagie, Shira\nToubiana, Shir\nHartono, Stella R\nKatzir, Hagar\nTzur-Gilat, Aya\nHavazelet, Shany\nFrancastel, Claire\nVelasco, Guillaume\nChedin, Frederic\nSelig, Sara\neng\nR01 GM094299/GM/NIGMS NIH HHS/\nEngland\n2017/01/25 06:00\nNat Commun. 2017 Jan 24;8:14015. doi: 10.1038/ncomms14015.","page":"14015","title":"Telomeres in ICF syndrome cells are vulnerable to DNA damage due to elevated DNA:RNA hybrids","type":"article-journal","volume":"8"},"uris":["http://www.mendeley.com/documents/?uuid=af19df43-23ae-439b-a092-d2ac113f8263"]}],"mendeley":{"formattedCitation":"(Sagie, Toubiana, et al. 2017)","plainTextFormattedCitation":"(Sagie, Toubiana, et al. 2017)","previouslyFormattedCitation":"(Sagie, Toubiana, et al. 2017)"},"properties":{"noteIndex":0},"schema":"https://github.com/citation-style-language/schema/raw/master/csl-citation.json"}</w:instrText>
            </w:r>
            <w:r w:rsidRPr="00704541">
              <w:rPr>
                <w:rFonts w:asciiTheme="majorBidi" w:hAnsiTheme="majorBidi" w:cstheme="majorBidi"/>
                <w:bCs/>
                <w:sz w:val="18"/>
                <w:szCs w:val="18"/>
              </w:rPr>
              <w:fldChar w:fldCharType="separate"/>
            </w:r>
            <w:r w:rsidRPr="00A40FFB">
              <w:rPr>
                <w:rFonts w:asciiTheme="majorBidi" w:hAnsiTheme="majorBidi" w:cstheme="majorBidi"/>
                <w:bCs/>
                <w:noProof/>
                <w:sz w:val="18"/>
                <w:szCs w:val="18"/>
              </w:rPr>
              <w:t>(Sagie, Toubiana, et al. 2017)</w:t>
            </w:r>
            <w:r w:rsidRPr="00704541">
              <w:rPr>
                <w:rFonts w:asciiTheme="majorBidi" w:hAnsiTheme="majorBidi" w:cstheme="majorBidi"/>
                <w:bCs/>
                <w:sz w:val="18"/>
                <w:szCs w:val="18"/>
              </w:rPr>
              <w:fldChar w:fldCharType="end"/>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9p</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GGGCGCATTAACGGTGAATA</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CCGCACTGAACCGCTCTAAC</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RT-qPCR</w:t>
            </w:r>
          </w:p>
        </w:tc>
        <w:tc>
          <w:tcPr>
            <w:tcW w:w="2126" w:type="dxa"/>
          </w:tcPr>
          <w:p w:rsidR="00907649" w:rsidRPr="00704541" w:rsidRDefault="00907649" w:rsidP="00E12C22">
            <w:pPr>
              <w:jc w:val="center"/>
              <w:rPr>
                <w:rFonts w:asciiTheme="majorBidi" w:hAnsiTheme="majorBidi" w:cstheme="majorBidi"/>
                <w:bCs/>
                <w:sz w:val="18"/>
                <w:szCs w:val="18"/>
              </w:rPr>
            </w:pPr>
            <w:r w:rsidRPr="00704541">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{"citationItems":[{"id":"ITEM-1","itemData":{"DOI":"10.1038/ncomms14015","ISBN":"2041-1723 (Electronic)\r2041-1723 (Linking)","PMID":"28117327","abstract":"DNA:RNA hybrids, nucleic acid structures with diverse physiological functions, can disrupt genome integrity when dysregulated. Human telomeres were shown to form hybrids with the lncRNA TERRA, yet the formation and distribution of these hybrids among telomeres, their regulation and their cellular effects remain elusive. Here we predict and confirm in several human cell types that DNA:RNA hybrids form at many subtelomeric and telomeric regions. We demonstrate that ICF syndrome cells, which exhibit short telomeres and elevated TERRA levels, are enriched for hybrids at telomeric regions throughout the cell cycle. Telomeric hybrids are associated with high levels of DNA damage at chromosome ends in ICF cells, which are significantly reduced with overexpression of RNase H1. Our findings suggest that abnormally high TERRA levels in ICF syndrome lead to accumulation of telomeric hybrids that, in turn, can result in telomeric dysfunction.","author":[{"dropping-particle":"","family":"Sagie","given":"S","non-dropping-particle":"","parse-names":false,"suffix":""},{"dropping-particle":"","family":"Toubiana","given":"S","non-dropping-particle":"","parse-names":false,"suffix":""},{"dropping-particle":"","family":"Hartono","given":"S R","non-dropping-particle":"","parse-names":false,"suffix":""},{"dropping-particle":"","family":"Katzir","given":"H","non-dropping-particle":"","parse-names":false,"suffix":""},{"dropping-particle":"","family":"Tzur-Gilat","given":"A","non-dropping-particle":"","parse-names":false,"suffix":""},{"dropping-particle":"","family":"Havazelet","given":"S","non-dropping-particle":"","parse-names":false,"suffix":""},{"dropping-particle":"","family":"Francastel","given":"C","non-dropping-particle":"","parse-names":false,"suffix":""},{"dropping-particle":"","family":"Velasco","given":"G","non-dropping-particle":"","parse-names":false,"suffix":""},{"dropping-particle":"","family":"Chedin","given":"F","non-dropping-particle":"","parse-names":false,"suffix":""},{"dropping-particle":"","family":"Selig","given":"S","non-dropping-particle":"","parse-names":false,"suffix":""}],"container-title":"Nat Commun","id":"ITEM-1","issued":{"date-parts":[["2017"]]},"note":"Sagie, Shira\nToubiana, Shir\nHartono, Stella R\nKatzir, Hagar\nTzur-Gilat, Aya\nHavazelet, Shany\nFrancastel, Claire\nVelasco, Guillaume\nChedin, Frederic\nSelig, Sara\neng\nR01 GM094299/GM/NIGMS NIH HHS/\nEngland\n2017/01/25 06:00\nNat Commun. 2017 Jan 24;8:14015. doi: 10.1038/ncomms14015.","page":"14015","title":"Telomeres in ICF syndrome cells are vulnerable to DNA damage due to elevated DNA:RNA hybrids","type":"article-journal","volume":"8"},"uris":["http://www.mendeley.com/documents/?uuid=af19df43-23ae-439b-a092-d2ac113f8263"]}],"mendeley":{"formattedCitation":"(Sagie, Toubiana, et al. 2017)","plainTextFormattedCitation":"(Sagie, Toubiana, et al. 2017)","previouslyFormattedCitation":"(Sagie, Toubiana, et al. 2017)"},"properties":{"noteIndex":0},"schema":"https://github.com/citation-style-language/schema/raw/master/csl-citation.json"}</w:instrText>
            </w:r>
            <w:r w:rsidRPr="00704541">
              <w:rPr>
                <w:rFonts w:asciiTheme="majorBidi" w:hAnsiTheme="majorBidi" w:cstheme="majorBidi"/>
                <w:bCs/>
                <w:sz w:val="18"/>
                <w:szCs w:val="18"/>
              </w:rPr>
              <w:fldChar w:fldCharType="separate"/>
            </w:r>
            <w:r w:rsidRPr="00A40FFB">
              <w:rPr>
                <w:rFonts w:asciiTheme="majorBidi" w:hAnsiTheme="majorBidi" w:cstheme="majorBidi"/>
                <w:bCs/>
                <w:noProof/>
                <w:sz w:val="18"/>
                <w:szCs w:val="18"/>
              </w:rPr>
              <w:t>(Sagie, Toubiana, et al. 2017)</w:t>
            </w:r>
            <w:r w:rsidRPr="00704541">
              <w:rPr>
                <w:rFonts w:asciiTheme="majorBidi" w:hAnsiTheme="majorBidi" w:cstheme="majorBidi"/>
                <w:bCs/>
                <w:sz w:val="18"/>
                <w:szCs w:val="18"/>
              </w:rPr>
              <w:fldChar w:fldCharType="end"/>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15p</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AACCCTAACCACATGAGCAACG</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CTCGCCTTAGCTTGGGAG</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RT-qPCR</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bCs/>
                <w:sz w:val="18"/>
                <w:szCs w:val="18"/>
              </w:rPr>
            </w:pPr>
            <w:r>
              <w:rPr>
                <w:rFonts w:asciiTheme="majorBidi" w:hAnsiTheme="majorBidi" w:cstheme="majorBidi"/>
                <w:bCs/>
                <w:sz w:val="18"/>
                <w:szCs w:val="18"/>
              </w:rPr>
              <w:t xml:space="preserve">Subtelomere </w:t>
            </w:r>
            <w:r w:rsidRPr="00DE5653">
              <w:rPr>
                <w:rFonts w:asciiTheme="majorBidi" w:hAnsiTheme="majorBidi" w:cstheme="majorBidi"/>
                <w:bCs/>
                <w:sz w:val="18"/>
                <w:szCs w:val="18"/>
              </w:rPr>
              <w:t>19q</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 CTATTGCGAAGGCGGAGC</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 xml:space="preserve">R </w:t>
            </w:r>
            <w:r>
              <w:rPr>
                <w:rFonts w:asciiTheme="majorBidi" w:hAnsiTheme="majorBidi" w:cstheme="majorBidi"/>
                <w:bCs/>
                <w:sz w:val="18"/>
                <w:szCs w:val="18"/>
              </w:rPr>
              <w:t>–</w:t>
            </w:r>
            <w:r w:rsidRPr="00DE5653">
              <w:rPr>
                <w:rFonts w:asciiTheme="majorBidi" w:hAnsiTheme="majorBidi" w:cstheme="majorBidi"/>
                <w:bCs/>
                <w:sz w:val="18"/>
                <w:szCs w:val="18"/>
              </w:rPr>
              <w:t> CCCCAACCCCAACCCCAACGGC</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 and RT-qPCR</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sz w:val="18"/>
                <w:szCs w:val="18"/>
              </w:rPr>
            </w:pPr>
            <w:r w:rsidRPr="00DE5653">
              <w:rPr>
                <w:rFonts w:ascii="Symbol" w:hAnsi="Symbol" w:cstheme="majorBidi"/>
                <w:sz w:val="18"/>
                <w:szCs w:val="18"/>
              </w:rPr>
              <w:t></w:t>
            </w:r>
            <w:r w:rsidRPr="00DE5653">
              <w:rPr>
                <w:rFonts w:asciiTheme="majorBidi" w:hAnsiTheme="majorBidi" w:cstheme="majorBidi"/>
                <w:sz w:val="18"/>
                <w:szCs w:val="18"/>
              </w:rPr>
              <w:t>-actin</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TGTACGCCAACACAGTGCTG</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GCTGGAAGGTGGACAGCGA</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Normalizing gene for</w:t>
            </w:r>
          </w:p>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RT-qPCR</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sz w:val="18"/>
                <w:szCs w:val="18"/>
              </w:rPr>
            </w:pPr>
            <w:r w:rsidRPr="00DE5653">
              <w:rPr>
                <w:rFonts w:asciiTheme="majorBidi" w:hAnsiTheme="majorBidi" w:cstheme="majorBidi"/>
                <w:sz w:val="18"/>
                <w:szCs w:val="18"/>
              </w:rPr>
              <w:t>Satellite 2</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AGTGGAATCATCTNRAATGGA</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CATTCGAGTCCATTCGATGATT</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ChIP</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sz w:val="18"/>
                <w:szCs w:val="18"/>
              </w:rPr>
            </w:pPr>
            <w:r w:rsidRPr="00DE5653">
              <w:rPr>
                <w:rFonts w:asciiTheme="majorBidi" w:hAnsiTheme="majorBidi" w:cstheme="majorBidi"/>
                <w:sz w:val="18"/>
                <w:szCs w:val="18"/>
              </w:rPr>
              <w:t>Hoxa 7 TSS</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TACTCACCTCCCCTTTCCCA</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GTACCCTGCTCAGCTCCATC</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Negative control region for H3K4me3 ChIP</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204"/>
        </w:trPr>
        <w:tc>
          <w:tcPr>
            <w:tcW w:w="1838" w:type="dxa"/>
          </w:tcPr>
          <w:p w:rsidR="00907649" w:rsidRPr="00DE5653" w:rsidRDefault="00907649" w:rsidP="00E12C22">
            <w:pPr>
              <w:spacing w:line="216" w:lineRule="auto"/>
              <w:rPr>
                <w:rFonts w:asciiTheme="majorBidi" w:hAnsiTheme="majorBidi" w:cstheme="majorBidi"/>
                <w:sz w:val="18"/>
                <w:szCs w:val="18"/>
              </w:rPr>
            </w:pPr>
            <w:r w:rsidRPr="00DE5653">
              <w:rPr>
                <w:rFonts w:asciiTheme="majorBidi" w:hAnsiTheme="majorBidi" w:cstheme="majorBidi"/>
                <w:sz w:val="18"/>
                <w:szCs w:val="18"/>
              </w:rPr>
              <w:t>GAPDH promoter</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AAAGCCCGCACCAACCAT</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AGTCCCTGACCCTGCCTTTC</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sz w:val="18"/>
                <w:szCs w:val="18"/>
              </w:rPr>
            </w:pPr>
            <w:r w:rsidRPr="00DE5653">
              <w:rPr>
                <w:rFonts w:asciiTheme="majorBidi" w:hAnsiTheme="majorBidi" w:cstheme="majorBidi"/>
                <w:bCs/>
                <w:sz w:val="18"/>
                <w:szCs w:val="18"/>
              </w:rPr>
              <w:t>Negative control region for H3K9me3</w:t>
            </w:r>
            <w:r w:rsidRPr="00DE5653">
              <w:rPr>
                <w:sz w:val="18"/>
                <w:szCs w:val="18"/>
              </w:rPr>
              <w:t xml:space="preserve"> </w:t>
            </w:r>
            <w:r w:rsidRPr="00DE5653">
              <w:rPr>
                <w:rFonts w:asciiTheme="majorBidi" w:hAnsiTheme="majorBidi" w:cstheme="majorBidi"/>
                <w:bCs/>
                <w:sz w:val="18"/>
                <w:szCs w:val="18"/>
              </w:rPr>
              <w:t>ChIP</w:t>
            </w:r>
          </w:p>
        </w:tc>
        <w:tc>
          <w:tcPr>
            <w:tcW w:w="2126" w:type="dxa"/>
          </w:tcPr>
          <w:p w:rsidR="00907649" w:rsidRPr="000F2E0B" w:rsidRDefault="00907649" w:rsidP="00E12C22">
            <w:pPr>
              <w:jc w:val="center"/>
              <w:rPr>
                <w:rFonts w:asciiTheme="majorBidi" w:hAnsiTheme="majorBidi" w:cstheme="majorBidi"/>
                <w:bCs/>
                <w:sz w:val="28"/>
                <w:szCs w:val="28"/>
              </w:rPr>
            </w:pPr>
            <w:r w:rsidRPr="000F2E0B">
              <w:rPr>
                <w:rFonts w:asciiTheme="majorBidi" w:hAnsiTheme="majorBidi" w:cstheme="majorBidi"/>
                <w:bCs/>
                <w:sz w:val="28"/>
                <w:szCs w:val="28"/>
              </w:rPr>
              <w:t>-</w:t>
            </w:r>
          </w:p>
        </w:tc>
      </w:tr>
      <w:tr w:rsidR="00907649" w:rsidRPr="00DE5653" w:rsidTr="00E12C22">
        <w:trPr>
          <w:trHeight w:val="55"/>
        </w:trPr>
        <w:tc>
          <w:tcPr>
            <w:tcW w:w="1838" w:type="dxa"/>
          </w:tcPr>
          <w:p w:rsidR="00907649" w:rsidRPr="00DE5653" w:rsidRDefault="00907649" w:rsidP="00E12C22">
            <w:pPr>
              <w:spacing w:line="216" w:lineRule="auto"/>
              <w:rPr>
                <w:rFonts w:asciiTheme="majorBidi" w:hAnsiTheme="majorBidi" w:cstheme="majorBidi"/>
                <w:sz w:val="18"/>
                <w:szCs w:val="18"/>
              </w:rPr>
            </w:pPr>
            <w:r w:rsidRPr="00DE5653">
              <w:rPr>
                <w:rFonts w:asciiTheme="majorBidi" w:hAnsiTheme="majorBidi" w:cstheme="majorBidi"/>
                <w:sz w:val="18"/>
                <w:szCs w:val="18"/>
              </w:rPr>
              <w:t>Myoglobin exon2</w:t>
            </w:r>
          </w:p>
        </w:tc>
        <w:tc>
          <w:tcPr>
            <w:tcW w:w="3827" w:type="dxa"/>
          </w:tcPr>
          <w:p w:rsidR="00907649" w:rsidRPr="00DE5653" w:rsidRDefault="00907649" w:rsidP="00E12C22">
            <w:pPr>
              <w:spacing w:line="216" w:lineRule="auto"/>
              <w:rPr>
                <w:rFonts w:asciiTheme="majorBidi" w:hAnsiTheme="majorBidi" w:cstheme="majorBidi"/>
                <w:bCs/>
                <w:sz w:val="18"/>
                <w:szCs w:val="18"/>
              </w:rPr>
            </w:pPr>
            <w:r w:rsidRPr="00DE5653">
              <w:rPr>
                <w:rFonts w:asciiTheme="majorBidi" w:hAnsiTheme="majorBidi" w:cstheme="majorBidi"/>
                <w:bCs/>
                <w:sz w:val="18"/>
                <w:szCs w:val="18"/>
              </w:rPr>
              <w:t>F- GTGCCAGGGGCTTAATCT</w:t>
            </w:r>
          </w:p>
          <w:p w:rsidR="00907649" w:rsidRDefault="00907649" w:rsidP="00E12C22">
            <w:pPr>
              <w:spacing w:line="216" w:lineRule="auto"/>
              <w:rPr>
                <w:rFonts w:asciiTheme="majorBidi" w:hAnsiTheme="majorBidi" w:cstheme="majorBidi"/>
                <w:bCs/>
                <w:sz w:val="18"/>
                <w:szCs w:val="18"/>
                <w:rtl/>
              </w:rPr>
            </w:pPr>
            <w:r w:rsidRPr="00DE5653">
              <w:rPr>
                <w:rFonts w:asciiTheme="majorBidi" w:hAnsiTheme="majorBidi" w:cstheme="majorBidi"/>
                <w:bCs/>
                <w:sz w:val="18"/>
                <w:szCs w:val="18"/>
              </w:rPr>
              <w:t>R- GCGTCTGAGGACTTAAAGAAGC</w:t>
            </w:r>
          </w:p>
          <w:p w:rsidR="00907649" w:rsidRPr="00DE5653" w:rsidRDefault="00907649" w:rsidP="00E12C22">
            <w:pPr>
              <w:spacing w:line="216" w:lineRule="auto"/>
              <w:rPr>
                <w:rFonts w:asciiTheme="majorBidi" w:hAnsiTheme="majorBidi" w:cstheme="majorBidi"/>
                <w:bCs/>
                <w:sz w:val="18"/>
                <w:szCs w:val="18"/>
              </w:rPr>
            </w:pPr>
          </w:p>
        </w:tc>
        <w:tc>
          <w:tcPr>
            <w:tcW w:w="2127" w:type="dxa"/>
          </w:tcPr>
          <w:p w:rsidR="00907649" w:rsidRPr="00DE5653" w:rsidRDefault="00907649" w:rsidP="00E12C22">
            <w:pPr>
              <w:spacing w:line="216" w:lineRule="auto"/>
              <w:rPr>
                <w:sz w:val="18"/>
                <w:szCs w:val="18"/>
              </w:rPr>
            </w:pPr>
            <w:r w:rsidRPr="00DE5653">
              <w:rPr>
                <w:rFonts w:asciiTheme="majorBidi" w:hAnsiTheme="majorBidi" w:cstheme="majorBidi"/>
                <w:bCs/>
                <w:sz w:val="18"/>
                <w:szCs w:val="18"/>
              </w:rPr>
              <w:t>Negative control region for H3K36me3</w:t>
            </w:r>
            <w:r w:rsidRPr="00DE5653">
              <w:rPr>
                <w:sz w:val="18"/>
                <w:szCs w:val="18"/>
              </w:rPr>
              <w:t xml:space="preserve"> </w:t>
            </w:r>
            <w:r w:rsidRPr="00DE5653">
              <w:rPr>
                <w:rFonts w:asciiTheme="majorBidi" w:hAnsiTheme="majorBidi" w:cstheme="majorBidi"/>
                <w:bCs/>
                <w:sz w:val="18"/>
                <w:szCs w:val="18"/>
              </w:rPr>
              <w:t>ChIP</w:t>
            </w:r>
          </w:p>
        </w:tc>
        <w:tc>
          <w:tcPr>
            <w:tcW w:w="2126" w:type="dxa"/>
          </w:tcPr>
          <w:p w:rsidR="00907649" w:rsidRPr="00704541" w:rsidRDefault="00907649" w:rsidP="00E12C22">
            <w:pPr>
              <w:jc w:val="center"/>
              <w:rPr>
                <w:rFonts w:asciiTheme="majorBidi" w:hAnsiTheme="majorBidi" w:cstheme="majorBidi"/>
                <w:bCs/>
                <w:sz w:val="18"/>
                <w:szCs w:val="18"/>
              </w:rPr>
            </w:pPr>
            <w:r w:rsidRPr="00704541">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{"citationItems":[{"id":"ITEM-1","itemData":{"DOI":"10.1093/nar/gkx163","ISSN":"0305-1048","PMID":"28334849","abstract":"Hypomorphic mutations in DNA-methyltransferase DNMT3B cause majority of the rare disorder Immunodeficiency, Centromere instability and Facial anomalies syndrome cases (ICF1). By unspecified mechanisms, mutant-DNMT3B interferes with lymphoid-specific pathways resulting in immune response defects. Interestingly, recent findings report that DNMT3B shapes intragenic CpG-methylation of highly-transcribed genes. However, how the DNMT3B-dependent epigenetic network modulates transcription and whether ICF1-specific mutations impair this process remains unknown. We performed a transcriptomic and epigenomic study in patient-derived B-cell lines to investigate the genome-scale effects of DNMT3B dysfunction. We highlighted that altered intragenic CpG-methylation impairs multiple aspects of transcriptional regulation, like alternative TSS usage, antisense transcription and exon splicing. These defects preferentially associate with changes of intragenic H3K4me3 and at lesser extent of H3K27me3 and H3K36me3. In addition, we highlighted a novel DNMT3B activity in modulating the self-regulatory circuit of sense-antisense pairs and the exon skipping during alternative splicing, through interacting with RNA molecules. Strikingly, altered transcription affects disease relevant genes, as for instance the memory-B cell marker CD27 and PTPRC genes, providing us with biological insights into the ICF1-syndrome pathogenesis. Our genome-scale approach sheds light on the mechanisms still poorly understood of the intragenic function of DNMT3B and DNA methylation in gene expression regulation.","author":[{"dropping-particle":"","family":"Gatto","given":"Sole","non-dropping-particle":"","parse-names":false,"suffix":""},{"dropping-particle":"","family":"Gagliardi","given":"Miriam","non-dropping-particle":"","parse-names":false,"suffix":""},{"dropping-particle":"","family":"Franzese","given":"Monica","non-dropping-particle":"","parse-names":false,"suffix":""},{"dropping-particle":"","family":"Leppert","given":"Sylwia","non-dropping-particle":"","parse-names":false,"suffix":""},{"dropping-particle":"","family":"Papa","given":"Mariarosaria","non-dropping-particle":"","parse-names":false,"suffix":""},{"dropping-particle":"","family":"Cammisa","given":"Marco","non-dropping-particle":"","parse-names":false,"suffix":""},{"dropping-particle":"","family":"Grillo","given":"Giacomo","non-dropping-particle":"","parse-names":false,"suffix":""},{"dropping-particle":"","family":"Velasco","given":"Guillame","non-dropping-particle":"","parse-names":false,"suffix":""},{"dropping-particle":"","family":"Francastel","given":"Claire","non-dropping-particle":"","parse-names":false,"suffix":""},{"dropping-particle":"","family":"Toubiana","given":"Shir","non-dropping-particle":"","parse-names":false,"suffix":""},{"dropping-particle":"","family":"D’Esposito","given":"Maurizio","non-dropping-particle":"","parse-names":false,"suffix":""},{"dropping-particle":"","family":"Angelini","given":"Claudia","non-dropping-particle":"","parse-names":false,"suffix":""},{"dropping-particle":"","family":"Matarazzo","given":"Maria R.","non-dropping-particle":"","parse-names":false,"suffix":""}],"container-title":"Nucleic Acids Research","id":"ITEM-1","issue":"10","issued":{"date-parts":[["2017","6","2"]]},"page":"5739-5756","title":"ICF-specific DNMT3B dysfunction interferes with intragenic regulation of mRNA transcription and alternative splicing","type":"article-journal","volume":"45"},"uris":["http://www.mendeley.com/documents/?uuid=7b2473f2-db32-37bd-a0aa-18c25c2be8d7"]}],"mendeley":{"formattedCitation":"(Gatto et al. 2017)","plainTextFormattedCitation":"(Gatto et al. 2017)","previouslyFormattedCitation":"(Gatto et al. 2017)"},"properties":{"noteIndex":0},"schema":"https://github.com/citation-style-language/schema/raw/master/csl-citation.json"}</w:instrText>
            </w:r>
            <w:r w:rsidRPr="00704541">
              <w:rPr>
                <w:rFonts w:asciiTheme="majorBidi" w:hAnsiTheme="majorBidi" w:cstheme="majorBidi"/>
                <w:bCs/>
                <w:sz w:val="18"/>
                <w:szCs w:val="18"/>
              </w:rPr>
              <w:fldChar w:fldCharType="separate"/>
            </w:r>
            <w:r w:rsidRPr="00704541">
              <w:rPr>
                <w:rFonts w:asciiTheme="majorBidi" w:hAnsiTheme="majorBidi" w:cstheme="majorBidi"/>
                <w:bCs/>
                <w:noProof/>
                <w:sz w:val="18"/>
                <w:szCs w:val="18"/>
              </w:rPr>
              <w:t>(Gatto et al. 2017)</w:t>
            </w:r>
            <w:r w:rsidRPr="00704541">
              <w:rPr>
                <w:rFonts w:asciiTheme="majorBidi" w:hAnsiTheme="majorBidi" w:cstheme="majorBidi"/>
                <w:bCs/>
                <w:sz w:val="18"/>
                <w:szCs w:val="18"/>
              </w:rPr>
              <w:fldChar w:fldCharType="end"/>
            </w:r>
          </w:p>
        </w:tc>
      </w:tr>
    </w:tbl>
    <w:p w:rsidR="00907649" w:rsidRDefault="00907649" w:rsidP="00907649">
      <w:pPr>
        <w:spacing w:line="360" w:lineRule="auto"/>
        <w:ind w:right="26"/>
        <w:rPr>
          <w:rFonts w:asciiTheme="majorBidi" w:eastAsia="Times New Roman" w:hAnsiTheme="majorBidi" w:cstheme="majorBidi"/>
          <w:sz w:val="28"/>
          <w:szCs w:val="28"/>
        </w:rPr>
      </w:pPr>
    </w:p>
    <w:p w:rsidR="00907649" w:rsidRDefault="00907649" w:rsidP="00907649">
      <w:pPr>
        <w:tabs>
          <w:tab w:val="left" w:pos="9020"/>
        </w:tabs>
        <w:spacing w:line="480" w:lineRule="auto"/>
        <w:ind w:right="26"/>
        <w:rPr>
          <w:rFonts w:asciiTheme="majorBidi" w:hAnsiTheme="majorBidi" w:cstheme="majorBidi"/>
        </w:rPr>
      </w:pPr>
    </w:p>
    <w:p w:rsidR="00907649" w:rsidRDefault="00907649" w:rsidP="00377CA3">
      <w:pPr>
        <w:spacing w:line="360" w:lineRule="auto"/>
      </w:pPr>
    </w:p>
    <w:sectPr w:rsidR="00907649" w:rsidSect="00BA3086">
      <w:footerReference w:type="even" r:id="rId6"/>
      <w:foot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AF" w:rsidRDefault="00BF08AF" w:rsidP="00907649">
      <w:r>
        <w:separator/>
      </w:r>
    </w:p>
  </w:endnote>
  <w:endnote w:type="continuationSeparator" w:id="0">
    <w:p w:rsidR="00BF08AF" w:rsidRDefault="00BF08AF" w:rsidP="0090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9951545"/>
      <w:docPartObj>
        <w:docPartGallery w:val="Page Numbers (Bottom of Page)"/>
        <w:docPartUnique/>
      </w:docPartObj>
    </w:sdtPr>
    <w:sdtEndPr>
      <w:rPr>
        <w:rStyle w:val="PageNumber"/>
      </w:rPr>
    </w:sdtEndPr>
    <w:sdtContent>
      <w:p w:rsidR="00907649" w:rsidRDefault="00907649" w:rsidP="00BA3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7649" w:rsidRDefault="00907649" w:rsidP="00907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13941"/>
      <w:docPartObj>
        <w:docPartGallery w:val="Page Numbers (Bottom of Page)"/>
        <w:docPartUnique/>
      </w:docPartObj>
    </w:sdtPr>
    <w:sdtEndPr>
      <w:rPr>
        <w:rStyle w:val="PageNumber"/>
      </w:rPr>
    </w:sdtEndPr>
    <w:sdtContent>
      <w:p w:rsidR="00907649" w:rsidRDefault="00907649" w:rsidP="00BA3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07649" w:rsidRDefault="00907649" w:rsidP="009076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AF" w:rsidRDefault="00BF08AF" w:rsidP="00907649">
      <w:r>
        <w:separator/>
      </w:r>
    </w:p>
  </w:footnote>
  <w:footnote w:type="continuationSeparator" w:id="0">
    <w:p w:rsidR="00BF08AF" w:rsidRDefault="00BF08AF" w:rsidP="00907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2D"/>
    <w:rsid w:val="000B2CE3"/>
    <w:rsid w:val="00124BD8"/>
    <w:rsid w:val="00303202"/>
    <w:rsid w:val="00377CA3"/>
    <w:rsid w:val="00500A71"/>
    <w:rsid w:val="00720B2D"/>
    <w:rsid w:val="0073479B"/>
    <w:rsid w:val="00771D24"/>
    <w:rsid w:val="00837255"/>
    <w:rsid w:val="00907649"/>
    <w:rsid w:val="00A243F7"/>
    <w:rsid w:val="00B547E0"/>
    <w:rsid w:val="00BA3086"/>
    <w:rsid w:val="00BD1809"/>
    <w:rsid w:val="00BF08AF"/>
    <w:rsid w:val="00C76EA6"/>
    <w:rsid w:val="00DA1AA1"/>
    <w:rsid w:val="00E2058A"/>
    <w:rsid w:val="00F919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84DFD39"/>
  <w15:chartTrackingRefBased/>
  <w15:docId w15:val="{02736FC2-D4C0-9E49-A8BE-1AC1D1B1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6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7649"/>
    <w:pPr>
      <w:tabs>
        <w:tab w:val="center" w:pos="4680"/>
        <w:tab w:val="right" w:pos="9360"/>
      </w:tabs>
    </w:pPr>
  </w:style>
  <w:style w:type="character" w:customStyle="1" w:styleId="FooterChar">
    <w:name w:val="Footer Char"/>
    <w:basedOn w:val="DefaultParagraphFont"/>
    <w:link w:val="Footer"/>
    <w:uiPriority w:val="99"/>
    <w:rsid w:val="00907649"/>
  </w:style>
  <w:style w:type="character" w:styleId="PageNumber">
    <w:name w:val="page number"/>
    <w:basedOn w:val="DefaultParagraphFont"/>
    <w:uiPriority w:val="99"/>
    <w:semiHidden/>
    <w:unhideWhenUsed/>
    <w:rsid w:val="0090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Selig</dc:creator>
  <cp:keywords/>
  <dc:description/>
  <cp:lastModifiedBy>Sara Selig</cp:lastModifiedBy>
  <cp:revision>2</cp:revision>
  <dcterms:created xsi:type="dcterms:W3CDTF">2019-10-27T05:29:00Z</dcterms:created>
  <dcterms:modified xsi:type="dcterms:W3CDTF">2019-10-27T05:29:00Z</dcterms:modified>
</cp:coreProperties>
</file>