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142" w:rsidRDefault="00C321E8">
      <w:pPr>
        <w:rPr>
          <w:rFonts w:ascii="Times New Roman" w:hAnsi="Times New Roman" w:cs="Times New Roman"/>
          <w:b/>
          <w:bCs/>
        </w:rPr>
      </w:pPr>
      <w:r w:rsidRPr="00C321E8">
        <w:rPr>
          <w:rFonts w:ascii="Times New Roman" w:hAnsi="Times New Roman" w:cs="Times New Roman"/>
          <w:b/>
          <w:bCs/>
        </w:rPr>
        <w:t>Supplementary File 3</w:t>
      </w:r>
      <w:r>
        <w:rPr>
          <w:rFonts w:ascii="Times New Roman" w:hAnsi="Times New Roman" w:cs="Times New Roman"/>
          <w:b/>
          <w:bCs/>
        </w:rPr>
        <w:t xml:space="preserve">. </w:t>
      </w:r>
      <w:bookmarkStart w:id="0" w:name="_GoBack"/>
      <w:r w:rsidRPr="00C321E8">
        <w:rPr>
          <w:rFonts w:ascii="Times New Roman" w:hAnsi="Times New Roman" w:cs="Times New Roman"/>
        </w:rPr>
        <w:t>Special Points from Bifurcation Analysis</w:t>
      </w:r>
      <w:bookmarkEnd w:id="0"/>
    </w:p>
    <w:p w:rsidR="00C321E8" w:rsidRDefault="00C321E8">
      <w:pPr>
        <w:rPr>
          <w:rFonts w:ascii="Times New Roman" w:hAnsi="Times New Roman" w:cs="Times New Roman"/>
          <w:b/>
          <w:bCs/>
        </w:rPr>
      </w:pPr>
    </w:p>
    <w:tbl>
      <w:tblPr>
        <w:tblW w:w="873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70"/>
        <w:gridCol w:w="1260"/>
        <w:gridCol w:w="810"/>
        <w:gridCol w:w="1620"/>
        <w:gridCol w:w="2970"/>
      </w:tblGrid>
      <w:tr w:rsidR="00C321E8" w:rsidRPr="00C321E8" w:rsidTr="00CC3441">
        <w:trPr>
          <w:trHeight w:val="411"/>
        </w:trPr>
        <w:tc>
          <w:tcPr>
            <w:tcW w:w="207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  <w:b/>
                <w:bCs/>
              </w:rPr>
              <w:t>Special Point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  <w:b/>
                <w:bCs/>
              </w:rPr>
              <w:sym w:font="Symbol" w:char="F065"/>
            </w:r>
          </w:p>
        </w:tc>
        <w:tc>
          <w:tcPr>
            <w:tcW w:w="81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m:oMathPara>
              <m:oMathParaPr>
                <m:jc m:val="centerGroup"/>
              </m:oMathParaPr>
              <m:oMath>
                <m:r>
                  <m:rPr>
                    <m:sty m:val="b"/>
                  </m:rPr>
                  <w:rPr>
                    <w:rFonts w:ascii="Cambria Math" w:hAnsi="Cambria Math" w:cs="Times New Roman"/>
                  </w:rPr>
                  <m:t>ρ</m:t>
                </m:r>
              </m:oMath>
            </m:oMathPara>
          </w:p>
        </w:tc>
        <w:tc>
          <w:tcPr>
            <w:tcW w:w="162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  <w:b/>
                <w:bCs/>
              </w:rPr>
              <w:sym w:font="Symbol" w:char="F062"/>
            </w:r>
          </w:p>
        </w:tc>
        <w:tc>
          <w:tcPr>
            <w:tcW w:w="2970" w:type="dxa"/>
            <w:tcBorders>
              <w:top w:val="nil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  <w:b/>
                <w:bCs/>
              </w:rPr>
              <w:t>P</w:t>
            </w:r>
            <w:r w:rsidRPr="00C321E8">
              <w:rPr>
                <w:rFonts w:ascii="Times New Roman" w:hAnsi="Times New Roman" w:cs="Times New Roman"/>
                <w:b/>
                <w:bCs/>
                <w:vertAlign w:val="subscript"/>
              </w:rPr>
              <w:t>I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</w:p>
        </w:tc>
        <w:tc>
          <w:tcPr>
            <w:tcW w:w="126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2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0.176</w:t>
            </w:r>
          </w:p>
        </w:tc>
        <w:tc>
          <w:tcPr>
            <w:tcW w:w="2970" w:type="dxa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proofErr w:type="spellStart"/>
            <w:r w:rsidRPr="00C321E8">
              <w:rPr>
                <w:rFonts w:ascii="Times New Roman" w:hAnsi="Times New Roman" w:cs="Times New Roman"/>
              </w:rPr>
              <w:t>Hopf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1.76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0.0133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29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proofErr w:type="spellStart"/>
            <w:r w:rsidRPr="00C321E8">
              <w:rPr>
                <w:rFonts w:ascii="Times New Roman" w:hAnsi="Times New Roman" w:cs="Times New Roman"/>
              </w:rPr>
              <w:t>Hopf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2.747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0.00944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  <w:r w:rsidRPr="00C321E8">
              <w:rPr>
                <w:rFonts w:ascii="Times New Roman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0.0025</w:t>
            </w:r>
          </w:p>
        </w:tc>
        <w:tc>
          <w:tcPr>
            <w:tcW w:w="81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.01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0.615</w:t>
            </w:r>
          </w:p>
        </w:tc>
        <w:tc>
          <w:tcPr>
            <w:tcW w:w="2970" w:type="dxa"/>
            <w:tcBorders>
              <w:top w:val="single" w:sz="18" w:space="0" w:color="000000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29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proofErr w:type="spellStart"/>
            <w:r w:rsidRPr="00C321E8">
              <w:rPr>
                <w:rFonts w:ascii="Times New Roman" w:hAnsi="Times New Roman" w:cs="Times New Roman"/>
              </w:rPr>
              <w:t>Hopf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1.407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0.0156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2970" w:type="dxa"/>
            <w:tcBorders>
              <w:top w:val="single" w:sz="1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proofErr w:type="spellStart"/>
            <w:r w:rsidRPr="00C321E8">
              <w:rPr>
                <w:rFonts w:ascii="Times New Roman" w:hAnsi="Times New Roman" w:cs="Times New Roman"/>
              </w:rPr>
              <w:t>Hopf</w:t>
            </w:r>
            <w:proofErr w:type="spellEnd"/>
          </w:p>
        </w:tc>
        <w:tc>
          <w:tcPr>
            <w:tcW w:w="126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16.918</w:t>
            </w:r>
          </w:p>
        </w:tc>
        <w:tc>
          <w:tcPr>
            <w:tcW w:w="2970" w:type="dxa"/>
            <w:tcBorders>
              <w:top w:val="nil"/>
              <w:left w:val="nil"/>
              <w:bottom w:val="single" w:sz="18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0.00178</w:t>
            </w:r>
          </w:p>
        </w:tc>
      </w:tr>
      <w:tr w:rsidR="00C321E8" w:rsidRPr="00C321E8" w:rsidTr="00CC3441">
        <w:trPr>
          <w:trHeight w:val="411"/>
        </w:trPr>
        <w:tc>
          <w:tcPr>
            <w:tcW w:w="2070" w:type="dxa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Branch Point</w:t>
            </w:r>
            <w:r w:rsidRPr="00C321E8">
              <w:rPr>
                <w:rFonts w:ascii="Times New Roman" w:hAnsi="Times New Roman" w:cs="Times New Roman"/>
                <w:vertAlign w:val="superscript"/>
              </w:rPr>
              <w:sym w:font="Wingdings 2" w:char="F085"/>
            </w:r>
          </w:p>
        </w:tc>
        <w:tc>
          <w:tcPr>
            <w:tcW w:w="1260" w:type="dxa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0.0001</w:t>
            </w:r>
          </w:p>
        </w:tc>
        <w:tc>
          <w:tcPr>
            <w:tcW w:w="810" w:type="dxa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0.193</w:t>
            </w:r>
          </w:p>
        </w:tc>
        <w:tc>
          <w:tcPr>
            <w:tcW w:w="2970" w:type="dxa"/>
            <w:tcBorders>
              <w:top w:val="single" w:sz="18" w:space="0" w:color="000000"/>
              <w:left w:val="nil"/>
              <w:bottom w:val="single" w:sz="24" w:space="0" w:color="000000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>0</w:t>
            </w:r>
          </w:p>
        </w:tc>
      </w:tr>
      <w:tr w:rsidR="00C321E8" w:rsidRPr="00C321E8" w:rsidTr="00CC3441">
        <w:trPr>
          <w:trHeight w:val="1289"/>
        </w:trPr>
        <w:tc>
          <w:tcPr>
            <w:tcW w:w="8730" w:type="dxa"/>
            <w:gridSpan w:val="5"/>
            <w:tcBorders>
              <w:top w:val="single" w:sz="2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25" w:type="dxa"/>
              <w:left w:w="181" w:type="dxa"/>
              <w:bottom w:w="0" w:type="dxa"/>
              <w:right w:w="181" w:type="dxa"/>
            </w:tcMar>
            <w:vAlign w:val="center"/>
            <w:hideMark/>
          </w:tcPr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</w:rPr>
              <w:t xml:space="preserve">Note: All other parameters in this bifurcation analysis were fixed at the following values: </w:t>
            </w:r>
            <w:r w:rsidRPr="00C321E8">
              <w:rPr>
                <w:rFonts w:ascii="Times New Roman" w:hAnsi="Times New Roman" w:cs="Times New Roman"/>
                <w:i/>
                <w:iCs/>
              </w:rPr>
              <w:t>b</w:t>
            </w:r>
            <w:r w:rsidRPr="00C321E8">
              <w:rPr>
                <w:rFonts w:ascii="Times New Roman" w:hAnsi="Times New Roman" w:cs="Times New Roman"/>
              </w:rPr>
              <w:t xml:space="preserve"> =.025 ;</w:t>
            </w:r>
            <w:r w:rsidRPr="00C321E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μ</m:t>
              </m:r>
              <m:r>
                <w:rPr>
                  <w:rFonts w:ascii="Cambria Math" w:hAnsi="Cambria Math" w:cs="Times New Roman"/>
                </w:rPr>
                <m:t>=0.001</m:t>
              </m:r>
            </m:oMath>
            <w:r w:rsidRPr="00C321E8">
              <w:rPr>
                <w:rFonts w:ascii="Times New Roman" w:hAnsi="Times New Roman" w:cs="Times New Roman"/>
                <w:i/>
                <w:iCs/>
              </w:rPr>
              <w:t xml:space="preserve"> </w:t>
            </w:r>
            <w:r w:rsidRPr="00C321E8">
              <w:rPr>
                <w:rFonts w:ascii="Times New Roman" w:hAnsi="Times New Roman" w:cs="Times New Roman"/>
              </w:rPr>
              <w:t xml:space="preserve">; </w:t>
            </w:r>
            <m:oMath>
              <m:r>
                <w:rPr>
                  <w:rFonts w:ascii="Cambria Math" w:hAnsi="Cambria Math" w:cs="Times New Roman"/>
                </w:rPr>
                <m:t>σ=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Pr="00C321E8">
              <w:rPr>
                <w:rFonts w:ascii="Times New Roman" w:hAnsi="Times New Roman" w:cs="Times New Roman"/>
              </w:rPr>
              <w:t xml:space="preserve"> ; </w:t>
            </w:r>
            <m:oMath>
              <m:r>
                <w:rPr>
                  <w:rFonts w:ascii="Cambria Math" w:hAnsi="Cambria Math" w:cs="Times New Roman"/>
                </w:rPr>
                <m:t>α=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iCs/>
                    </w:rPr>
                  </m:ctrlPr>
                </m:fPr>
                <m:num>
                  <m:r>
                    <w:rPr>
                      <w:rFonts w:ascii="Cambria Math" w:hAnsi="Cambria Math" w:cs="Times New Roman"/>
                    </w:rPr>
                    <m:t>1</m:t>
                  </m:r>
                </m:num>
                <m:den>
                  <m:r>
                    <w:rPr>
                      <w:rFonts w:ascii="Cambria Math" w:hAnsi="Cambria Math" w:cs="Times New Roman"/>
                    </w:rPr>
                    <m:t>6</m:t>
                  </m:r>
                </m:den>
              </m:f>
            </m:oMath>
            <w:r w:rsidRPr="00C321E8">
              <w:rPr>
                <w:rFonts w:ascii="Times New Roman" w:hAnsi="Times New Roman" w:cs="Times New Roman"/>
              </w:rPr>
              <w:t xml:space="preserve"> ; </w:t>
            </w:r>
            <m:oMath>
              <m:r>
                <w:rPr>
                  <w:rFonts w:ascii="Cambria Math" w:hAnsi="Cambria Math" w:cs="Times New Roman"/>
                </w:rPr>
                <m:t>c=0</m:t>
              </m:r>
            </m:oMath>
            <w:r w:rsidRPr="00C321E8">
              <w:rPr>
                <w:rFonts w:ascii="Times New Roman" w:hAnsi="Times New Roman" w:cs="Times New Roman"/>
              </w:rPr>
              <w:t xml:space="preserve"> </w:t>
            </w:r>
          </w:p>
          <w:p w:rsidR="00C321E8" w:rsidRPr="00C321E8" w:rsidRDefault="00C321E8" w:rsidP="00CC3441">
            <w:pPr>
              <w:rPr>
                <w:rFonts w:ascii="Times New Roman" w:hAnsi="Times New Roman" w:cs="Times New Roman"/>
              </w:rPr>
            </w:pPr>
            <w:r w:rsidRPr="00C321E8">
              <w:rPr>
                <w:rFonts w:ascii="Times New Roman" w:hAnsi="Times New Roman" w:cs="Times New Roman"/>
                <w:vertAlign w:val="superscript"/>
              </w:rPr>
              <w:sym w:font="Wingdings 2" w:char="F085"/>
            </w:r>
            <w:r w:rsidRPr="00C321E8">
              <w:rPr>
                <w:rFonts w:ascii="Times New Roman" w:hAnsi="Times New Roman" w:cs="Times New Roman"/>
              </w:rPr>
              <w:t xml:space="preserve">For these scenarios with high antiviral rates (either induced, </w:t>
            </w:r>
            <m:oMath>
              <m:r>
                <m:rPr>
                  <m:sty m:val="p"/>
                </m:rPr>
                <w:rPr>
                  <w:rFonts w:ascii="Cambria Math" w:hAnsi="Cambria Math" w:cs="Times New Roman"/>
                </w:rPr>
                <m:t>ρ</m:t>
              </m:r>
            </m:oMath>
            <w:r w:rsidRPr="00C321E8">
              <w:rPr>
                <w:rFonts w:ascii="Times New Roman" w:hAnsi="Times New Roman" w:cs="Times New Roman"/>
              </w:rPr>
              <w:t xml:space="preserve">, or constitutive, </w:t>
            </w:r>
            <w:r w:rsidRPr="00C321E8">
              <w:rPr>
                <w:rFonts w:ascii="Times New Roman" w:hAnsi="Times New Roman" w:cs="Times New Roman"/>
              </w:rPr>
              <w:sym w:font="Symbol" w:char="F065"/>
            </w:r>
            <w:r w:rsidRPr="00C321E8">
              <w:rPr>
                <w:rFonts w:ascii="Times New Roman" w:hAnsi="Times New Roman" w:cs="Times New Roman"/>
              </w:rPr>
              <w:t xml:space="preserve">), no </w:t>
            </w:r>
            <w:proofErr w:type="spellStart"/>
            <w:r w:rsidRPr="00C321E8">
              <w:rPr>
                <w:rFonts w:ascii="Times New Roman" w:hAnsi="Times New Roman" w:cs="Times New Roman"/>
              </w:rPr>
              <w:t>Hopf</w:t>
            </w:r>
            <w:proofErr w:type="spellEnd"/>
            <w:r w:rsidRPr="00C321E8">
              <w:rPr>
                <w:rFonts w:ascii="Times New Roman" w:hAnsi="Times New Roman" w:cs="Times New Roman"/>
              </w:rPr>
              <w:t xml:space="preserve"> bifurcation was observed.</w:t>
            </w:r>
          </w:p>
        </w:tc>
      </w:tr>
    </w:tbl>
    <w:p w:rsidR="00C321E8" w:rsidRPr="00C321E8" w:rsidRDefault="00C321E8">
      <w:pPr>
        <w:rPr>
          <w:rFonts w:ascii="Times New Roman" w:hAnsi="Times New Roman" w:cs="Times New Roman"/>
          <w:b/>
          <w:bCs/>
        </w:rPr>
      </w:pPr>
    </w:p>
    <w:sectPr w:rsidR="00C321E8" w:rsidRPr="00C321E8" w:rsidSect="00317C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776"/>
    <w:rsid w:val="00317CED"/>
    <w:rsid w:val="00472B66"/>
    <w:rsid w:val="00A810DD"/>
    <w:rsid w:val="00A94776"/>
    <w:rsid w:val="00C32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40E4FE8"/>
  <w14:defaultImageDpi w14:val="32767"/>
  <w15:chartTrackingRefBased/>
  <w15:docId w15:val="{B52A3D6F-8CB9-454D-8E70-35040BFEF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40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559</Characters>
  <Application>Microsoft Office Word</Application>
  <DocSecurity>0</DocSecurity>
  <Lines>4</Lines>
  <Paragraphs>1</Paragraphs>
  <ScaleCrop>false</ScaleCrop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Cara Brook</dc:creator>
  <cp:keywords/>
  <dc:description/>
  <cp:lastModifiedBy>Cara Brook</cp:lastModifiedBy>
  <cp:revision>2</cp:revision>
  <dcterms:created xsi:type="dcterms:W3CDTF">2020-01-04T07:32:00Z</dcterms:created>
  <dcterms:modified xsi:type="dcterms:W3CDTF">2020-01-04T07:35:00Z</dcterms:modified>
</cp:coreProperties>
</file>