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CAF34AB" w:rsidR="00877644" w:rsidRPr="00125190" w:rsidRDefault="0048597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to determine sample sizes. Sample sizes were deemed adequate as the differences between control and experimental groups were significant and reproducible.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96731E1" w:rsidR="00B330BD" w:rsidRDefault="00E0141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All experiments were repeated at least twice. Number of experiments (N) and number of samples (n) are indicated in the legends. </w:t>
      </w:r>
    </w:p>
    <w:p w14:paraId="66F17CFF" w14:textId="77777777" w:rsidR="00E01418" w:rsidRDefault="00E0141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66ACC29" w14:textId="37AEBD80" w:rsidR="00E01418" w:rsidRDefault="00E0141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data was excluded except for in Figure 4e: Some RNAi worms had degenerated necks and we did not include them for quantification of cycling cells. This is stated in the figure legend. Should we have included all the RNAi animals, the significance of the results would not have changed. However, we </w:t>
      </w:r>
      <w:r w:rsidR="000F0568">
        <w:rPr>
          <w:rFonts w:asciiTheme="minorHAnsi" w:hAnsiTheme="minorHAnsi"/>
        </w:rPr>
        <w:t>deemed it inappropriate to include</w:t>
      </w:r>
      <w:r>
        <w:rPr>
          <w:rFonts w:asciiTheme="minorHAnsi" w:hAnsiTheme="minorHAnsi"/>
        </w:rPr>
        <w:t xml:space="preserve"> </w:t>
      </w:r>
      <w:r w:rsidR="000F0568">
        <w:rPr>
          <w:rFonts w:asciiTheme="minorHAnsi" w:hAnsiTheme="minorHAnsi"/>
        </w:rPr>
        <w:t>these</w:t>
      </w:r>
      <w:r>
        <w:rPr>
          <w:rFonts w:asciiTheme="minorHAnsi" w:hAnsiTheme="minorHAnsi"/>
        </w:rPr>
        <w:t xml:space="preserve"> animals that had few or no cycling cells once the neck morphology was severely affected. </w:t>
      </w:r>
    </w:p>
    <w:p w14:paraId="344302B0" w14:textId="09CAE6D1" w:rsidR="00E01418" w:rsidRDefault="00E0141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805A157" w14:textId="0A72E820" w:rsidR="00E01418" w:rsidRPr="00125190" w:rsidRDefault="00E0141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qPCR in Figure 4 – figure supplement 1 was performed with two biological replicates (of three pooled worms per RNAi condition) and three technical replicates per biological replicate.</w:t>
      </w:r>
      <w:bookmarkStart w:id="0" w:name="_GoBack"/>
      <w:bookmarkEnd w:id="0"/>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046670E" w:rsidR="0015519A" w:rsidRPr="00505C51" w:rsidRDefault="00E0141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replicates, samples sizes, </w:t>
      </w:r>
      <w:r w:rsidR="0029377D">
        <w:rPr>
          <w:rFonts w:asciiTheme="minorHAnsi" w:hAnsiTheme="minorHAnsi"/>
          <w:sz w:val="22"/>
          <w:szCs w:val="22"/>
        </w:rPr>
        <w:t>error bars, statistical tests and p-values are described in the corresponding figure legends</w:t>
      </w:r>
      <w:r w:rsidR="00C633D5">
        <w:rPr>
          <w:rFonts w:asciiTheme="minorHAnsi" w:hAnsiTheme="minorHAnsi"/>
          <w:sz w:val="22"/>
          <w:szCs w:val="22"/>
        </w:rPr>
        <w:t>, with an additional section in the Materials and Methods</w:t>
      </w:r>
      <w:r w:rsidR="0029377D">
        <w:rPr>
          <w:rFonts w:asciiTheme="minorHAnsi" w:hAnsiTheme="minorHAnsi"/>
          <w:sz w:val="22"/>
          <w:szCs w:val="22"/>
        </w:rPr>
        <w:t xml:space="preserve">. When two groups were compared, we used Student’s t-test. When three or more groups were compared, we used one-way ANOVA. ANOVAs were also performed with multiple comparison testing: Dunnett’s test was performed when comparing means of multiple samples to one control whereas Tukey’s test was performed when comparing all means to all other means, as recommended by the statistical software we used (Prism7).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FC4B30A" w:rsidR="00BC3CCE" w:rsidRPr="00505C51" w:rsidRDefault="0029377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relevant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98BCA15" w:rsidR="00BC3CCE" w:rsidRPr="00505C51" w:rsidRDefault="00C961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not provided. We typically plotted raw data points in all graphs except for Fig 1c-d, where averages and standard deviations were plotted to make the graph more readable.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52F63" w14:textId="77777777" w:rsidR="00880EA1" w:rsidRDefault="00880EA1" w:rsidP="004215FE">
      <w:r>
        <w:separator/>
      </w:r>
    </w:p>
  </w:endnote>
  <w:endnote w:type="continuationSeparator" w:id="0">
    <w:p w14:paraId="1EECC2D3" w14:textId="77777777" w:rsidR="00880EA1" w:rsidRDefault="00880EA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B6F3E" w14:textId="77777777" w:rsidR="00880EA1" w:rsidRDefault="00880EA1" w:rsidP="004215FE">
      <w:r>
        <w:separator/>
      </w:r>
    </w:p>
  </w:footnote>
  <w:footnote w:type="continuationSeparator" w:id="0">
    <w:p w14:paraId="77C8D947" w14:textId="77777777" w:rsidR="00880EA1" w:rsidRDefault="00880EA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6"/>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0568"/>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377D"/>
    <w:rsid w:val="002A068D"/>
    <w:rsid w:val="002A0ED1"/>
    <w:rsid w:val="002A7487"/>
    <w:rsid w:val="00307F5D"/>
    <w:rsid w:val="003248ED"/>
    <w:rsid w:val="00370080"/>
    <w:rsid w:val="003E3ACE"/>
    <w:rsid w:val="003F19A6"/>
    <w:rsid w:val="00402ADD"/>
    <w:rsid w:val="00406FF4"/>
    <w:rsid w:val="0041682E"/>
    <w:rsid w:val="004215FE"/>
    <w:rsid w:val="004242DB"/>
    <w:rsid w:val="00426FD0"/>
    <w:rsid w:val="00441726"/>
    <w:rsid w:val="004505C5"/>
    <w:rsid w:val="00451B01"/>
    <w:rsid w:val="00455849"/>
    <w:rsid w:val="00471732"/>
    <w:rsid w:val="00485971"/>
    <w:rsid w:val="004A5C32"/>
    <w:rsid w:val="004B41D4"/>
    <w:rsid w:val="004D5E59"/>
    <w:rsid w:val="004D602A"/>
    <w:rsid w:val="004D73CF"/>
    <w:rsid w:val="004E4945"/>
    <w:rsid w:val="004F451D"/>
    <w:rsid w:val="00505C51"/>
    <w:rsid w:val="00516A01"/>
    <w:rsid w:val="0053000A"/>
    <w:rsid w:val="00550F13"/>
    <w:rsid w:val="005513A5"/>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0EA1"/>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633D5"/>
    <w:rsid w:val="00C820B0"/>
    <w:rsid w:val="00C961EE"/>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1418"/>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E2637CA-5732-B246-BF84-5B755A36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8B8F-2C2A-A14F-BE1F-CCDE006A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4</cp:revision>
  <dcterms:created xsi:type="dcterms:W3CDTF">2019-06-02T22:10:00Z</dcterms:created>
  <dcterms:modified xsi:type="dcterms:W3CDTF">2019-06-02T23:46:00Z</dcterms:modified>
</cp:coreProperties>
</file>