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9D88F75" w14:textId="35C214F8" w:rsidR="003C07BE" w:rsidRPr="003C07BE" w:rsidRDefault="003C07BE" w:rsidP="003C07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 w:rsidRPr="003C07BE">
        <w:rPr>
          <w:rFonts w:asciiTheme="minorHAnsi" w:hAnsiTheme="minorHAnsi"/>
          <w:lang w:val="en-GB"/>
        </w:rPr>
        <w:t xml:space="preserve">For survival analysis, we used the standard sample size of 100 animals per treatment group. In many experiments, we increased the sample size to 160-200 animals per treatment group. Sample sizes for survival assays are reported in figure legends as well as in </w:t>
      </w:r>
      <w:r>
        <w:rPr>
          <w:rFonts w:asciiTheme="minorHAnsi" w:hAnsiTheme="minorHAnsi"/>
          <w:lang w:val="en-GB"/>
        </w:rPr>
        <w:t>S</w:t>
      </w:r>
      <w:r w:rsidRPr="003C07BE">
        <w:rPr>
          <w:rFonts w:asciiTheme="minorHAnsi" w:hAnsiTheme="minorHAnsi"/>
          <w:lang w:val="en-GB"/>
        </w:rPr>
        <w:t xml:space="preserve">upplemental </w:t>
      </w:r>
      <w:r>
        <w:rPr>
          <w:rFonts w:asciiTheme="minorHAnsi" w:hAnsiTheme="minorHAnsi"/>
          <w:lang w:val="en-GB"/>
        </w:rPr>
        <w:t>File 6</w:t>
      </w:r>
      <w:r w:rsidRPr="003C07BE">
        <w:rPr>
          <w:rFonts w:asciiTheme="minorHAnsi" w:hAnsiTheme="minorHAnsi"/>
          <w:lang w:val="en-GB"/>
        </w:rPr>
        <w:t>.</w:t>
      </w:r>
    </w:p>
    <w:p w14:paraId="24043F51" w14:textId="77777777" w:rsidR="003C07BE" w:rsidRPr="003C07BE" w:rsidRDefault="003C07BE" w:rsidP="003C07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</w:p>
    <w:p w14:paraId="283305D7" w14:textId="51FDC8A9" w:rsidR="00877644" w:rsidRPr="003C07BE" w:rsidRDefault="003C07BE" w:rsidP="003C07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 w:rsidRPr="003C07BE">
        <w:rPr>
          <w:rFonts w:asciiTheme="minorHAnsi" w:hAnsiTheme="minorHAnsi"/>
          <w:lang w:val="en-GB"/>
        </w:rPr>
        <w:t>For other experiments, sample sizes are listed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7DB7E86" w14:textId="77777777" w:rsidR="003C07BE" w:rsidRPr="003C07BE" w:rsidRDefault="003C07BE" w:rsidP="003C07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C07BE">
        <w:rPr>
          <w:rFonts w:asciiTheme="minorHAnsi" w:hAnsiTheme="minorHAnsi"/>
        </w:rPr>
        <w:lastRenderedPageBreak/>
        <w:t xml:space="preserve">Experiments are replicated 3 times unless otherwise noted in figure legends. </w:t>
      </w:r>
    </w:p>
    <w:p w14:paraId="3A91E154" w14:textId="77777777" w:rsidR="003C07BE" w:rsidRPr="003C07BE" w:rsidRDefault="003C07BE" w:rsidP="003C07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97E16BB" w14:textId="77777777" w:rsidR="003C07BE" w:rsidRPr="003C07BE" w:rsidRDefault="003C07BE" w:rsidP="003C07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C07BE">
        <w:rPr>
          <w:rFonts w:asciiTheme="minorHAnsi" w:hAnsiTheme="minorHAnsi"/>
        </w:rPr>
        <w:t xml:space="preserve">Biological replicates are different animals or groups of animals. Technical replicates are protein or RNA samples from the same group of animals. </w:t>
      </w:r>
    </w:p>
    <w:p w14:paraId="453AB4C9" w14:textId="77777777" w:rsidR="003C07BE" w:rsidRPr="003C07BE" w:rsidRDefault="003C07BE" w:rsidP="003C07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366D57" w14:textId="77777777" w:rsidR="003C07BE" w:rsidRPr="003C07BE" w:rsidRDefault="003C07BE" w:rsidP="003C07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C07BE">
        <w:rPr>
          <w:rFonts w:asciiTheme="minorHAnsi" w:hAnsiTheme="minorHAnsi"/>
        </w:rPr>
        <w:t>All replicates are biological replicates unless otherwise indicated in figure legends.</w:t>
      </w:r>
    </w:p>
    <w:p w14:paraId="5B0D9924" w14:textId="77777777" w:rsidR="003C07BE" w:rsidRPr="003C07BE" w:rsidRDefault="003C07BE" w:rsidP="003C07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3B8E1B4" w14:textId="77777777" w:rsidR="003C07BE" w:rsidRPr="003C07BE" w:rsidRDefault="003C07BE" w:rsidP="003C07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C07BE">
        <w:rPr>
          <w:rFonts w:asciiTheme="minorHAnsi" w:hAnsiTheme="minorHAnsi"/>
        </w:rPr>
        <w:t>No animals or samples were excluded from the analyses.</w:t>
      </w:r>
    </w:p>
    <w:p w14:paraId="56B7983F" w14:textId="77777777" w:rsidR="003C07BE" w:rsidRPr="003C07BE" w:rsidRDefault="003C07BE" w:rsidP="003C07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5C588B44" w:rsidR="00B330BD" w:rsidRPr="00125190" w:rsidRDefault="003C07BE" w:rsidP="003C07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C07BE">
        <w:rPr>
          <w:rFonts w:asciiTheme="minorHAnsi" w:hAnsiTheme="minorHAnsi"/>
        </w:rPr>
        <w:t>Data from all lifespan experiments are included in supplemental table without excluding any lifespan replicates.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81DEE4D" w14:textId="77777777" w:rsidR="003C07BE" w:rsidRPr="003C07BE" w:rsidRDefault="003C07BE" w:rsidP="003C07B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For lifespan analyses, p values were calculated using Log-rank (Mantel-Cox) test. </w:t>
      </w:r>
    </w:p>
    <w:p w14:paraId="0F4BEF18" w14:textId="77777777" w:rsidR="003C07BE" w:rsidRPr="003C07BE" w:rsidRDefault="003C07BE" w:rsidP="003C07B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F202D81" w14:textId="77777777" w:rsidR="003C07BE" w:rsidRPr="003C07BE" w:rsidRDefault="003C07BE" w:rsidP="003C07B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For western blots, fluorescent reporter quantifications and qPCR, statistical significance was determined by two-tail t-test unless otherwise indicated. </w:t>
      </w:r>
    </w:p>
    <w:p w14:paraId="407E9A23" w14:textId="77777777" w:rsidR="003C07BE" w:rsidRPr="003C07BE" w:rsidRDefault="003C07BE" w:rsidP="003C07B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14D6089" w14:textId="53EBF653" w:rsidR="0015519A" w:rsidRPr="00505C51" w:rsidRDefault="003C07BE" w:rsidP="003C07B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>P values are include in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54B71BA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>For survival analysis, large groups of animals were prepared and ~100 animals were randomly selected per treatment group.</w:t>
      </w:r>
    </w:p>
    <w:p w14:paraId="7A56C668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BE90311" w14:textId="6E067BD0" w:rsidR="00BC3CCE" w:rsidRPr="00505C51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>Masking was used in select experiments. When an experiment is replicated by an independent researcher, he/she was usually not told what treatment each group represents until data collection was finished.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7B4C27D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lastRenderedPageBreak/>
        <w:t>Code for MitoMAPR analysis is included as supplemental file.</w:t>
      </w:r>
    </w:p>
    <w:p w14:paraId="2C95F3FA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List of source data: </w:t>
      </w:r>
    </w:p>
    <w:p w14:paraId="0FBD8B00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58A35EB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>Figure 1b: AMPK activity is increased in raga-1 mutants</w:t>
      </w:r>
    </w:p>
    <w:p w14:paraId="52437E0B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(Figure 1 — Source Data 1) </w:t>
      </w:r>
    </w:p>
    <w:p w14:paraId="024747A3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393F150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Figure 1 — figure supplement 1c: AMPK activity is increased by knockdown of TOR  </w:t>
      </w:r>
    </w:p>
    <w:p w14:paraId="5D9D4D46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(Figure 1 — Source Data 2) </w:t>
      </w:r>
    </w:p>
    <w:p w14:paraId="76AA64A3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1E3B98E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Figure 1 — figure supplement 1f: The conserved S6K/Akt phosphorylation site serine 551 on AAK-2 modulates AMPK activity </w:t>
      </w:r>
    </w:p>
    <w:p w14:paraId="18522546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(Figure 1 — Source Data 3) </w:t>
      </w:r>
    </w:p>
    <w:p w14:paraId="226CBA1D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02CA02F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Figure 2e: qPCR of raga-1 expression in SCIs and extrachromosomal lines </w:t>
      </w:r>
    </w:p>
    <w:p w14:paraId="0B0A0704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(Figure 2 — Source Data 1) </w:t>
      </w:r>
    </w:p>
    <w:p w14:paraId="1ABBD310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29CBF8A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Figure 2 — figure supplement 3: Developmental stages of raga-1 rescue lines </w:t>
      </w:r>
    </w:p>
    <w:p w14:paraId="426CE9D9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(Figure 2 — Source Data 2) </w:t>
      </w:r>
    </w:p>
    <w:p w14:paraId="67540611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D79AB05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Figure 3c and d: qPCR of daf-28 and ins-6 </w:t>
      </w:r>
    </w:p>
    <w:p w14:paraId="5FA2A76C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(Figure 3 — Source Data 1) </w:t>
      </w:r>
    </w:p>
    <w:p w14:paraId="7DFDB472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9006DEE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Figure 3 — figure supplement 2: qPCR validation of RNA seq results  </w:t>
      </w:r>
    </w:p>
    <w:p w14:paraId="70860851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(Figure 3 — Source Data 2) </w:t>
      </w:r>
    </w:p>
    <w:p w14:paraId="60FA08DB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3329618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Figure 3 — figure supplement 3: qPCR of ins-6 in day 1 adults </w:t>
      </w:r>
    </w:p>
    <w:p w14:paraId="76B4FD11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(Figure 3 — Source Data 3) </w:t>
      </w:r>
    </w:p>
    <w:p w14:paraId="185D7A2D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524D3B5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Figure 4c-h and Figure 4 — figure supplement 5: Effects of neuronal raga-1 rescue on parameters of muscle mitochondrial morphology  </w:t>
      </w:r>
    </w:p>
    <w:p w14:paraId="00DAABE9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(Figure 4 — Source Data 1) </w:t>
      </w:r>
    </w:p>
    <w:p w14:paraId="6001C55C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EFD51B6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Figure 4 — figure supplement 3c-f: Effects of neuronal raga-1 rescue on parameters of neuronal mitochondrial morphology </w:t>
      </w:r>
    </w:p>
    <w:p w14:paraId="173478A7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(Figure 4 — Source Data 2) </w:t>
      </w:r>
    </w:p>
    <w:p w14:paraId="530567B9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16901DF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Figure 4 — figure supplement 4c: Network states of intestinal mitochondria in raga-1 mutants </w:t>
      </w:r>
    </w:p>
    <w:p w14:paraId="04797D71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(Figure 4 — Source Data 3) </w:t>
      </w:r>
    </w:p>
    <w:p w14:paraId="43CDF8B8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FCB8C2D" w14:textId="77777777" w:rsidR="003C07BE" w:rsidRPr="003C07BE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 xml:space="preserve">Figure 4 — figure supplement 6c-f: Mitochondria network characteristics of muscle mitochondria in unc-64 mutants </w:t>
      </w:r>
    </w:p>
    <w:p w14:paraId="3B6E60A6" w14:textId="4ECD7250" w:rsidR="00BC3CCE" w:rsidRPr="00505C51" w:rsidRDefault="003C07BE" w:rsidP="003C0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07BE">
        <w:rPr>
          <w:rFonts w:asciiTheme="minorHAnsi" w:hAnsiTheme="minorHAnsi"/>
          <w:sz w:val="22"/>
          <w:szCs w:val="22"/>
        </w:rPr>
        <w:t>(Figure 4 — Source Data 4)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5FD5C" w14:textId="77777777" w:rsidR="00866432" w:rsidRDefault="00866432" w:rsidP="004215FE">
      <w:r>
        <w:separator/>
      </w:r>
    </w:p>
  </w:endnote>
  <w:endnote w:type="continuationSeparator" w:id="0">
    <w:p w14:paraId="046B894A" w14:textId="77777777" w:rsidR="00866432" w:rsidRDefault="0086643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DA244" w14:textId="77777777" w:rsidR="00866432" w:rsidRDefault="00866432" w:rsidP="004215FE">
      <w:r>
        <w:separator/>
      </w:r>
    </w:p>
  </w:footnote>
  <w:footnote w:type="continuationSeparator" w:id="0">
    <w:p w14:paraId="7705983A" w14:textId="77777777" w:rsidR="00866432" w:rsidRDefault="0086643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07B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432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ADD74E5-C45E-EE45-AA08-59CE8026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F26544-186C-824E-BE05-784D031A7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7358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Yue Zhang</cp:lastModifiedBy>
  <cp:revision>28</cp:revision>
  <dcterms:created xsi:type="dcterms:W3CDTF">2017-06-13T14:43:00Z</dcterms:created>
  <dcterms:modified xsi:type="dcterms:W3CDTF">2019-06-13T17:23:00Z</dcterms:modified>
</cp:coreProperties>
</file>