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B3" w:rsidRDefault="00D50DB3" w:rsidP="00D50DB3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Garamond"/>
          <w:b/>
          <w:bCs/>
          <w:color w:val="000000"/>
          <w:szCs w:val="24"/>
        </w:rPr>
        <w:t>Table S</w:t>
      </w:r>
      <w:proofErr w:type="gramStart"/>
      <w:r>
        <w:rPr>
          <w:rFonts w:eastAsia="Garamond"/>
          <w:b/>
          <w:bCs/>
          <w:color w:val="000000"/>
          <w:szCs w:val="24"/>
        </w:rPr>
        <w:t>5 .</w:t>
      </w:r>
      <w:proofErr w:type="gramEnd"/>
      <w:r>
        <w:rPr>
          <w:rFonts w:eastAsia="Garamond"/>
          <w:b/>
          <w:bCs/>
          <w:color w:val="000000"/>
          <w:szCs w:val="24"/>
        </w:rPr>
        <w:t xml:space="preserve"> Results of likelihood ratio tests and AIC comparisons.</w:t>
      </w:r>
      <w:r>
        <w:rPr>
          <w:rFonts w:eastAsia="Garamond"/>
          <w:color w:val="000000"/>
          <w:szCs w:val="24"/>
        </w:rPr>
        <w:t xml:space="preserve"> See Fig. S1 for node identities.</w:t>
      </w:r>
    </w:p>
    <w:tbl>
      <w:tblPr>
        <w:tblW w:w="8999" w:type="dxa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668"/>
        <w:gridCol w:w="2249"/>
        <w:gridCol w:w="1115"/>
        <w:gridCol w:w="957"/>
        <w:gridCol w:w="1171"/>
        <w:gridCol w:w="1079"/>
      </w:tblGrid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Character</w:t>
            </w: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Heading"/>
            </w:pPr>
            <w:r>
              <w:rPr>
                <w:rFonts w:ascii="Garamond" w:hAnsi="Garamond"/>
              </w:rPr>
              <w:t>Node</w:t>
            </w: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lnL</w:t>
            </w:r>
            <w:proofErr w:type="spellEnd"/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proofErr w:type="spellStart"/>
            <w:r>
              <w:rPr>
                <w:rFonts w:ascii="Garamond" w:hAnsi="Garamond"/>
              </w:rPr>
              <w:t>ΔlnL</w:t>
            </w:r>
            <w:proofErr w:type="spellEnd"/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AICc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proofErr w:type="spellStart"/>
            <w:r>
              <w:rPr>
                <w:rFonts w:ascii="Garamond" w:hAnsi="Garamond"/>
                <w:i/>
                <w:iCs/>
              </w:rPr>
              <w:t>w</w:t>
            </w:r>
            <w:r>
              <w:rPr>
                <w:rFonts w:ascii="Garamond" w:hAnsi="Garamond"/>
                <w:i/>
                <w:iCs/>
                <w:vertAlign w:val="subscript"/>
              </w:rPr>
              <w:t>i</w:t>
            </w:r>
            <w:proofErr w:type="spellEnd"/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Size plasticity</w:t>
            </w: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Negative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14.291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30.917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1.0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Flat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14.559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0.267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31.450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0.766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Positive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15.084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0.792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32.501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0.453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Negative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14.195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30.724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1.0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Flat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14.948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0.453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31.630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0.636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Positive slope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15.120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0.925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32.574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0.397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 xml:space="preserve">20 Hormone </w:t>
            </w:r>
            <w:proofErr w:type="spellStart"/>
            <w:r>
              <w:rPr>
                <w:rFonts w:ascii="Garamond" w:hAnsi="Garamond"/>
              </w:rPr>
              <w:t>titre</w:t>
            </w:r>
            <w:proofErr w:type="spellEnd"/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Positive plasticity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7.285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19.661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1.0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No plasticity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7.716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0.431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20.523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0.650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EcR expression</w:t>
            </w: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EcR absent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9.112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20.558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1.0</w:t>
            </w:r>
          </w:p>
        </w:tc>
      </w:tr>
      <w:tr w:rsidR="00D50DB3" w:rsidTr="00ED49DF">
        <w:tc>
          <w:tcPr>
            <w:tcW w:w="175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668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D50DB3" w:rsidRDefault="00D50DB3" w:rsidP="00ED49DF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224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</w:pPr>
            <w:r>
              <w:rPr>
                <w:rFonts w:ascii="Garamond" w:hAnsi="Garamond"/>
              </w:rPr>
              <w:t>EcR present</w:t>
            </w:r>
          </w:p>
        </w:tc>
        <w:tc>
          <w:tcPr>
            <w:tcW w:w="1115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9.604</w:t>
            </w:r>
          </w:p>
        </w:tc>
        <w:tc>
          <w:tcPr>
            <w:tcW w:w="95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0.491</w:t>
            </w:r>
          </w:p>
        </w:tc>
        <w:tc>
          <w:tcPr>
            <w:tcW w:w="1171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21.571</w:t>
            </w:r>
          </w:p>
        </w:tc>
        <w:tc>
          <w:tcPr>
            <w:tcW w:w="1079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0DB3" w:rsidRDefault="00D50DB3" w:rsidP="00ED49DF">
            <w:pPr>
              <w:pStyle w:val="TableContents"/>
              <w:jc w:val="center"/>
            </w:pPr>
            <w:r>
              <w:rPr>
                <w:rFonts w:ascii="Garamond" w:hAnsi="Garamond"/>
              </w:rPr>
              <w:t>0.612</w:t>
            </w:r>
          </w:p>
        </w:tc>
      </w:tr>
    </w:tbl>
    <w:p w:rsidR="00D50DB3" w:rsidRDefault="00D50DB3" w:rsidP="00D50DB3">
      <w:pPr>
        <w:pStyle w:val="SMcaption"/>
      </w:pPr>
    </w:p>
    <w:p w:rsidR="00DC0E65" w:rsidRDefault="00D50DB3">
      <w:bookmarkStart w:id="0" w:name="_GoBack"/>
      <w:bookmarkEnd w:id="0"/>
    </w:p>
    <w:sectPr w:rsidR="00DC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3"/>
    <w:rsid w:val="00001E1C"/>
    <w:rsid w:val="00216C27"/>
    <w:rsid w:val="00D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5118-874B-4FE4-9A73-4576FF87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D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D50DB3"/>
    <w:rPr>
      <w:rFonts w:eastAsia="Times New Roman"/>
      <w:sz w:val="24"/>
    </w:rPr>
  </w:style>
  <w:style w:type="paragraph" w:customStyle="1" w:styleId="TableContents">
    <w:name w:val="Table Contents"/>
    <w:basedOn w:val="Normal"/>
    <w:qFormat/>
    <w:rsid w:val="00D50DB3"/>
    <w:pPr>
      <w:suppressAutoHyphens/>
      <w:spacing w:line="276" w:lineRule="auto"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D5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Bhardwaj</dc:creator>
  <cp:keywords/>
  <dc:description/>
  <cp:lastModifiedBy>Shivam Bhardwaj</cp:lastModifiedBy>
  <cp:revision>1</cp:revision>
  <dcterms:created xsi:type="dcterms:W3CDTF">2019-02-11T22:36:00Z</dcterms:created>
  <dcterms:modified xsi:type="dcterms:W3CDTF">2019-02-11T22:36:00Z</dcterms:modified>
</cp:coreProperties>
</file>