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566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D5662F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D566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566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52CF94AD" w14:textId="77777777" w:rsidR="00A12C17" w:rsidRPr="00F44843" w:rsidRDefault="00A12C17" w:rsidP="00452391">
      <w:pPr>
        <w:framePr w:w="9409" w:h="1088" w:hSpace="180" w:wrap="around" w:vAnchor="text" w:hAnchor="page" w:x="1501" w:y="7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b/>
          <w:sz w:val="28"/>
          <w:szCs w:val="22"/>
        </w:rPr>
        <w:t>Sample-size estimation</w:t>
      </w:r>
      <w:r w:rsidRPr="00F44843">
        <w:rPr>
          <w:rFonts w:asciiTheme="minorHAnsi" w:hAnsiTheme="minorHAnsi"/>
          <w:sz w:val="28"/>
          <w:szCs w:val="22"/>
        </w:rPr>
        <w:t xml:space="preserve"> – </w:t>
      </w:r>
    </w:p>
    <w:p w14:paraId="0087A54A" w14:textId="77777777" w:rsidR="00A12C17" w:rsidRDefault="00A12C17" w:rsidP="00452391">
      <w:pPr>
        <w:framePr w:w="9409" w:h="1088" w:hSpace="180" w:wrap="around" w:vAnchor="text" w:hAnchor="page" w:x="1501" w:y="7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Since we used both flow cytometry based FRET assay and fluorescent microscope based FRET assay, the sample-size estimation is contingent on the method. </w:t>
      </w:r>
    </w:p>
    <w:p w14:paraId="70002AF8" w14:textId="77777777" w:rsidR="00452391" w:rsidRPr="00F44843" w:rsidRDefault="00452391" w:rsidP="00452391">
      <w:pPr>
        <w:framePr w:w="9409" w:h="1088" w:hSpace="180" w:wrap="around" w:vAnchor="text" w:hAnchor="page" w:x="1501" w:y="7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</w:p>
    <w:p w14:paraId="6EDCC5B2" w14:textId="1EC4A209" w:rsidR="00A12C17" w:rsidRDefault="00A12C17" w:rsidP="00452391">
      <w:pPr>
        <w:framePr w:w="9409" w:h="1088" w:hSpace="180" w:wrap="around" w:vAnchor="text" w:hAnchor="page" w:x="1501" w:y="7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>
        <w:rPr>
          <w:rFonts w:asciiTheme="minorHAnsi" w:hAnsiTheme="minorHAnsi"/>
          <w:sz w:val="28"/>
          <w:szCs w:val="22"/>
        </w:rPr>
        <w:t>Specifically</w:t>
      </w:r>
      <w:r w:rsidRPr="00F44843">
        <w:rPr>
          <w:rFonts w:asciiTheme="minorHAnsi" w:hAnsiTheme="minorHAnsi"/>
          <w:sz w:val="28"/>
          <w:szCs w:val="22"/>
        </w:rPr>
        <w:t xml:space="preserve">, for </w:t>
      </w:r>
      <w:r w:rsidRPr="00D57B28">
        <w:rPr>
          <w:rFonts w:asciiTheme="minorHAnsi" w:hAnsiTheme="minorHAnsi"/>
          <w:sz w:val="28"/>
          <w:szCs w:val="22"/>
          <w:u w:val="single"/>
        </w:rPr>
        <w:t>flow cytometry based FRET assay</w:t>
      </w:r>
      <w:r w:rsidRPr="00F44843">
        <w:rPr>
          <w:rFonts w:asciiTheme="minorHAnsi" w:hAnsiTheme="minorHAnsi"/>
          <w:sz w:val="28"/>
          <w:szCs w:val="22"/>
        </w:rPr>
        <w:t>, sample size is &gt;</w:t>
      </w:r>
      <w:r w:rsidR="00D57B28">
        <w:rPr>
          <w:rFonts w:asciiTheme="minorHAnsi" w:hAnsiTheme="minorHAnsi"/>
          <w:sz w:val="28"/>
          <w:szCs w:val="22"/>
        </w:rPr>
        <w:t xml:space="preserve"> </w:t>
      </w:r>
      <w:r w:rsidRPr="00F44843">
        <w:rPr>
          <w:rFonts w:asciiTheme="minorHAnsi" w:hAnsiTheme="minorHAnsi"/>
          <w:sz w:val="28"/>
          <w:szCs w:val="22"/>
        </w:rPr>
        <w:t xml:space="preserve">3000 individual cells per </w:t>
      </w:r>
      <w:r w:rsidR="00D57B28">
        <w:rPr>
          <w:rFonts w:asciiTheme="minorHAnsi" w:hAnsiTheme="minorHAnsi"/>
          <w:sz w:val="28"/>
          <w:szCs w:val="22"/>
        </w:rPr>
        <w:t xml:space="preserve">data </w:t>
      </w:r>
      <w:r w:rsidRPr="00F44843">
        <w:rPr>
          <w:rFonts w:asciiTheme="minorHAnsi" w:hAnsiTheme="minorHAnsi"/>
          <w:sz w:val="28"/>
          <w:szCs w:val="22"/>
        </w:rPr>
        <w:t>point. And we observed that the average and</w:t>
      </w:r>
      <w:r>
        <w:rPr>
          <w:rFonts w:asciiTheme="minorHAnsi" w:hAnsiTheme="minorHAnsi"/>
          <w:sz w:val="28"/>
          <w:szCs w:val="22"/>
        </w:rPr>
        <w:t xml:space="preserve"> the</w:t>
      </w:r>
      <w:r w:rsidRPr="00F44843">
        <w:rPr>
          <w:rFonts w:asciiTheme="minorHAnsi" w:hAnsiTheme="minorHAnsi"/>
          <w:sz w:val="28"/>
          <w:szCs w:val="22"/>
        </w:rPr>
        <w:t xml:space="preserve"> distribution of the ATP signal stab</w:t>
      </w:r>
      <w:r>
        <w:rPr>
          <w:rFonts w:asciiTheme="minorHAnsi" w:hAnsiTheme="minorHAnsi"/>
          <w:sz w:val="28"/>
          <w:szCs w:val="22"/>
        </w:rPr>
        <w:t>ilize</w:t>
      </w:r>
      <w:r w:rsidRPr="00F44843">
        <w:rPr>
          <w:rFonts w:asciiTheme="minorHAnsi" w:hAnsiTheme="minorHAnsi"/>
          <w:sz w:val="28"/>
          <w:szCs w:val="22"/>
        </w:rPr>
        <w:t xml:space="preserve"> after a sample size of ~ 1000 </w:t>
      </w:r>
      <w:r w:rsidR="00D57B28">
        <w:rPr>
          <w:rFonts w:asciiTheme="minorHAnsi" w:hAnsiTheme="minorHAnsi"/>
          <w:sz w:val="28"/>
          <w:szCs w:val="22"/>
        </w:rPr>
        <w:t xml:space="preserve">cells </w:t>
      </w:r>
      <w:r w:rsidRPr="00F44843">
        <w:rPr>
          <w:rFonts w:asciiTheme="minorHAnsi" w:hAnsiTheme="minorHAnsi"/>
          <w:sz w:val="28"/>
          <w:szCs w:val="22"/>
        </w:rPr>
        <w:t xml:space="preserve">during the analysis. </w:t>
      </w:r>
    </w:p>
    <w:p w14:paraId="0D401F5F" w14:textId="77777777" w:rsidR="00452391" w:rsidRDefault="00452391" w:rsidP="00452391">
      <w:pPr>
        <w:framePr w:w="9409" w:h="1088" w:hSpace="180" w:wrap="around" w:vAnchor="text" w:hAnchor="page" w:x="1501" w:y="7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</w:p>
    <w:p w14:paraId="5F0FB48F" w14:textId="22518D1A" w:rsidR="00A12C17" w:rsidRPr="00B747C5" w:rsidRDefault="00452391" w:rsidP="00452391">
      <w:pPr>
        <w:framePr w:w="9409" w:h="1088" w:hSpace="180" w:wrap="around" w:vAnchor="text" w:hAnchor="page" w:x="1501" w:y="7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452391">
        <w:rPr>
          <w:rFonts w:asciiTheme="minorHAnsi" w:hAnsiTheme="minorHAnsi"/>
          <w:sz w:val="28"/>
          <w:szCs w:val="22"/>
        </w:rPr>
        <w:t xml:space="preserve">For </w:t>
      </w:r>
      <w:r w:rsidRPr="00452391">
        <w:rPr>
          <w:rFonts w:asciiTheme="minorHAnsi" w:hAnsiTheme="minorHAnsi"/>
          <w:sz w:val="28"/>
          <w:szCs w:val="22"/>
          <w:u w:val="single"/>
        </w:rPr>
        <w:t>fluorescent microscopy-based FRET measurement</w:t>
      </w:r>
      <w:r w:rsidRPr="00452391">
        <w:rPr>
          <w:rFonts w:asciiTheme="minorHAnsi" w:hAnsiTheme="minorHAnsi"/>
          <w:sz w:val="28"/>
          <w:szCs w:val="22"/>
        </w:rPr>
        <w:t xml:space="preserve">, we observed that the signal stabilizes </w:t>
      </w:r>
      <w:r>
        <w:rPr>
          <w:rFonts w:asciiTheme="minorHAnsi" w:hAnsiTheme="minorHAnsi"/>
          <w:sz w:val="28"/>
          <w:szCs w:val="22"/>
        </w:rPr>
        <w:t>after the</w:t>
      </w:r>
      <w:r w:rsidRPr="00452391">
        <w:rPr>
          <w:rFonts w:asciiTheme="minorHAnsi" w:hAnsiTheme="minorHAnsi"/>
          <w:sz w:val="28"/>
          <w:szCs w:val="22"/>
        </w:rPr>
        <w:t xml:space="preserve"> </w:t>
      </w:r>
      <w:r w:rsidRPr="00452391">
        <w:rPr>
          <w:rFonts w:asciiTheme="minorHAnsi" w:hAnsiTheme="minorHAnsi"/>
          <w:sz w:val="28"/>
          <w:szCs w:val="22"/>
        </w:rPr>
        <w:t>average</w:t>
      </w:r>
      <w:r>
        <w:rPr>
          <w:rFonts w:asciiTheme="minorHAnsi" w:hAnsiTheme="minorHAnsi"/>
          <w:sz w:val="28"/>
          <w:szCs w:val="22"/>
        </w:rPr>
        <w:t>s from</w:t>
      </w:r>
      <w:r w:rsidRPr="00452391">
        <w:rPr>
          <w:rFonts w:asciiTheme="minorHAnsi" w:hAnsiTheme="minorHAnsi"/>
          <w:sz w:val="28"/>
          <w:szCs w:val="22"/>
        </w:rPr>
        <w:t xml:space="preserve"> N&gt;=3 independent replicate experiments </w:t>
      </w:r>
      <w:r>
        <w:rPr>
          <w:rFonts w:asciiTheme="minorHAnsi" w:hAnsiTheme="minorHAnsi"/>
          <w:sz w:val="28"/>
          <w:szCs w:val="22"/>
        </w:rPr>
        <w:t xml:space="preserve">were combined </w:t>
      </w:r>
      <w:r w:rsidRPr="00452391">
        <w:rPr>
          <w:rFonts w:asciiTheme="minorHAnsi" w:hAnsiTheme="minorHAnsi"/>
          <w:sz w:val="28"/>
          <w:szCs w:val="22"/>
        </w:rPr>
        <w:t>for every condition, with multiple cells (</w:t>
      </w:r>
      <w:r>
        <w:rPr>
          <w:rFonts w:asciiTheme="minorHAnsi" w:hAnsiTheme="minorHAnsi"/>
          <w:sz w:val="28"/>
          <w:szCs w:val="22"/>
        </w:rPr>
        <w:t>n</w:t>
      </w:r>
      <w:r w:rsidRPr="00452391">
        <w:rPr>
          <w:rFonts w:asciiTheme="minorHAnsi" w:hAnsiTheme="minorHAnsi"/>
          <w:sz w:val="28"/>
          <w:szCs w:val="22"/>
        </w:rPr>
        <w:t xml:space="preserve"> &gt;=2) for each replicate. A typical result is shown in the main figures (e.g. </w:t>
      </w:r>
      <w:r w:rsidRPr="00452391">
        <w:rPr>
          <w:rFonts w:asciiTheme="minorHAnsi" w:hAnsiTheme="minorHAnsi"/>
          <w:b/>
          <w:sz w:val="28"/>
          <w:szCs w:val="22"/>
        </w:rPr>
        <w:t>Fig. 2C</w:t>
      </w:r>
      <w:r w:rsidRPr="00452391">
        <w:rPr>
          <w:rFonts w:asciiTheme="minorHAnsi" w:hAnsiTheme="minorHAnsi"/>
          <w:sz w:val="28"/>
          <w:szCs w:val="22"/>
        </w:rPr>
        <w:t xml:space="preserve"> and </w:t>
      </w:r>
      <w:r w:rsidRPr="00452391">
        <w:rPr>
          <w:rFonts w:asciiTheme="minorHAnsi" w:hAnsiTheme="minorHAnsi"/>
          <w:b/>
          <w:sz w:val="28"/>
          <w:szCs w:val="22"/>
        </w:rPr>
        <w:t>2D</w:t>
      </w:r>
      <w:r w:rsidRPr="00452391">
        <w:rPr>
          <w:rFonts w:asciiTheme="minorHAnsi" w:hAnsiTheme="minorHAnsi"/>
          <w:sz w:val="28"/>
          <w:szCs w:val="22"/>
        </w:rPr>
        <w:t>), which as an example includes a combination of &gt;10 cells per group, with individual cell traces represented in grey solid lines, or in dots (e.g. Fig. 4K).</w:t>
      </w:r>
      <w:r w:rsidR="00791EA9" w:rsidRPr="00B747C5">
        <w:rPr>
          <w:rFonts w:asciiTheme="minorHAnsi" w:hAnsiTheme="minorHAnsi"/>
          <w:sz w:val="28"/>
          <w:szCs w:val="22"/>
        </w:rPr>
        <w:t xml:space="preserve"> </w:t>
      </w:r>
    </w:p>
    <w:p w14:paraId="0F6508F5" w14:textId="3511F711" w:rsidR="000B06C4" w:rsidRDefault="00877644">
      <w:pPr>
        <w:rPr>
          <w:rFonts w:asciiTheme="minorHAnsi" w:hAnsiTheme="minorHAnsi"/>
          <w:b/>
          <w:bCs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  <w:bookmarkStart w:id="0" w:name="_GoBack"/>
      <w:bookmarkEnd w:id="0"/>
      <w:r w:rsidR="000B06C4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6207056E" w14:textId="2C2B2CDE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32D8D8" w:rsidR="00B330BD" w:rsidRPr="00F44843" w:rsidRDefault="000B06C4" w:rsidP="00A12C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Replicates – </w:t>
      </w:r>
    </w:p>
    <w:p w14:paraId="7EF768FA" w14:textId="381265A6" w:rsidR="000B06C4" w:rsidRPr="00F44843" w:rsidRDefault="000B06C4" w:rsidP="00A12C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>Each experiment has been replicated</w:t>
      </w:r>
      <w:r w:rsidR="00C26EB4" w:rsidRPr="00F44843">
        <w:rPr>
          <w:rFonts w:asciiTheme="minorHAnsi" w:hAnsiTheme="minorHAnsi"/>
          <w:sz w:val="28"/>
          <w:szCs w:val="22"/>
        </w:rPr>
        <w:t xml:space="preserve"> technically for more than</w:t>
      </w:r>
      <w:r w:rsidRPr="00F44843">
        <w:rPr>
          <w:rFonts w:asciiTheme="minorHAnsi" w:hAnsiTheme="minorHAnsi"/>
          <w:sz w:val="28"/>
          <w:szCs w:val="22"/>
        </w:rPr>
        <w:t xml:space="preserve"> three times, and the main conclusions were </w:t>
      </w:r>
      <w:r w:rsidR="00C26EB4" w:rsidRPr="00F44843">
        <w:rPr>
          <w:rFonts w:asciiTheme="minorHAnsi" w:hAnsiTheme="minorHAnsi"/>
          <w:sz w:val="28"/>
          <w:szCs w:val="22"/>
        </w:rPr>
        <w:t xml:space="preserve">further </w:t>
      </w:r>
      <w:r w:rsidRPr="00F44843">
        <w:rPr>
          <w:rFonts w:asciiTheme="minorHAnsi" w:hAnsiTheme="minorHAnsi"/>
          <w:sz w:val="28"/>
          <w:szCs w:val="22"/>
        </w:rPr>
        <w:t xml:space="preserve">tested with different compounds exerting similar effects, e.g. for </w:t>
      </w:r>
      <w:r w:rsidRPr="00F44843">
        <w:rPr>
          <w:rFonts w:asciiTheme="minorHAnsi" w:hAnsiTheme="minorHAnsi"/>
          <w:b/>
          <w:i/>
          <w:sz w:val="28"/>
          <w:szCs w:val="22"/>
        </w:rPr>
        <w:t>Fig. 1</w:t>
      </w:r>
      <w:r w:rsidRPr="00F44843">
        <w:rPr>
          <w:rFonts w:asciiTheme="minorHAnsi" w:hAnsiTheme="minorHAnsi"/>
          <w:sz w:val="28"/>
          <w:szCs w:val="22"/>
        </w:rPr>
        <w:t xml:space="preserve">, we tested three </w:t>
      </w:r>
      <w:proofErr w:type="spellStart"/>
      <w:r w:rsidRPr="00F44843">
        <w:rPr>
          <w:rFonts w:asciiTheme="minorHAnsi" w:hAnsiTheme="minorHAnsi"/>
          <w:sz w:val="28"/>
          <w:szCs w:val="22"/>
        </w:rPr>
        <w:t>OxPhos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inhibitors – </w:t>
      </w:r>
      <w:proofErr w:type="spellStart"/>
      <w:r w:rsidRPr="00F44843">
        <w:rPr>
          <w:rFonts w:asciiTheme="minorHAnsi" w:hAnsiTheme="minorHAnsi"/>
          <w:sz w:val="28"/>
          <w:szCs w:val="22"/>
        </w:rPr>
        <w:t>oligomycin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, rotenone, and FCCP; for </w:t>
      </w:r>
      <w:r w:rsidRPr="00F44843">
        <w:rPr>
          <w:rFonts w:asciiTheme="minorHAnsi" w:hAnsiTheme="minorHAnsi"/>
          <w:b/>
          <w:i/>
          <w:sz w:val="28"/>
          <w:szCs w:val="22"/>
        </w:rPr>
        <w:t>Fig. 2</w:t>
      </w:r>
      <w:r w:rsidRPr="00F44843">
        <w:rPr>
          <w:rFonts w:asciiTheme="minorHAnsi" w:hAnsiTheme="minorHAnsi"/>
          <w:sz w:val="28"/>
          <w:szCs w:val="22"/>
        </w:rPr>
        <w:t xml:space="preserve"> and </w:t>
      </w:r>
      <w:r w:rsidRPr="00F44843">
        <w:rPr>
          <w:rFonts w:asciiTheme="minorHAnsi" w:hAnsiTheme="minorHAnsi"/>
          <w:b/>
          <w:i/>
          <w:sz w:val="28"/>
          <w:szCs w:val="22"/>
        </w:rPr>
        <w:t>3</w:t>
      </w:r>
      <w:r w:rsidRPr="00F44843">
        <w:rPr>
          <w:rFonts w:asciiTheme="minorHAnsi" w:hAnsiTheme="minorHAnsi"/>
          <w:sz w:val="28"/>
          <w:szCs w:val="22"/>
        </w:rPr>
        <w:t xml:space="preserve">, we tested three SERCA inhibitors – </w:t>
      </w:r>
      <w:r w:rsidR="00F44843" w:rsidRPr="00F44843">
        <w:rPr>
          <w:rFonts w:asciiTheme="minorHAnsi" w:hAnsiTheme="minorHAnsi"/>
          <w:sz w:val="28"/>
          <w:szCs w:val="22"/>
        </w:rPr>
        <w:t>BHQ</w:t>
      </w:r>
      <w:r w:rsidR="00F44843">
        <w:rPr>
          <w:rFonts w:asciiTheme="minorHAnsi" w:hAnsiTheme="minorHAnsi"/>
          <w:sz w:val="28"/>
          <w:szCs w:val="22"/>
        </w:rPr>
        <w:t xml:space="preserve">, </w:t>
      </w:r>
      <w:proofErr w:type="spellStart"/>
      <w:r w:rsidRPr="00F44843">
        <w:rPr>
          <w:rFonts w:asciiTheme="minorHAnsi" w:hAnsiTheme="minorHAnsi"/>
          <w:sz w:val="28"/>
          <w:szCs w:val="22"/>
        </w:rPr>
        <w:t>thapsigargin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, </w:t>
      </w:r>
      <w:r w:rsidR="00F44843">
        <w:rPr>
          <w:rFonts w:asciiTheme="minorHAnsi" w:hAnsiTheme="minorHAnsi"/>
          <w:sz w:val="28"/>
          <w:szCs w:val="22"/>
        </w:rPr>
        <w:t xml:space="preserve">and </w:t>
      </w:r>
      <w:proofErr w:type="spellStart"/>
      <w:r w:rsidRPr="00F44843">
        <w:rPr>
          <w:rFonts w:asciiTheme="minorHAnsi" w:hAnsiTheme="minorHAnsi"/>
          <w:sz w:val="28"/>
          <w:szCs w:val="22"/>
        </w:rPr>
        <w:t>cyclopiazonic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acid. </w:t>
      </w:r>
    </w:p>
    <w:p w14:paraId="7E9D0D29" w14:textId="77777777" w:rsidR="00C26EB4" w:rsidRPr="00F44843" w:rsidRDefault="00C26EB4" w:rsidP="00A12C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</w:p>
    <w:p w14:paraId="3D4FD12B" w14:textId="16B0A98E" w:rsidR="000B06C4" w:rsidRPr="00F44843" w:rsidRDefault="000B06C4" w:rsidP="00A12C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To ensure that the </w:t>
      </w:r>
      <w:proofErr w:type="spellStart"/>
      <w:r w:rsidRPr="00F44843">
        <w:rPr>
          <w:rFonts w:asciiTheme="minorHAnsi" w:hAnsiTheme="minorHAnsi"/>
          <w:i/>
          <w:sz w:val="28"/>
          <w:szCs w:val="22"/>
        </w:rPr>
        <w:t>CaATiER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phenomenon is not cell-type specific, we further tested three cell lines, i.e. Chinese Hamster Ovary (CHO) cell, rat </w:t>
      </w:r>
      <w:proofErr w:type="spellStart"/>
      <w:r w:rsidRPr="00F44843">
        <w:rPr>
          <w:rFonts w:asciiTheme="minorHAnsi" w:hAnsiTheme="minorHAnsi"/>
          <w:sz w:val="28"/>
          <w:szCs w:val="22"/>
        </w:rPr>
        <w:t>insulinoma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INS-1 cell, and human cervical cancer cell HeLa cell. </w:t>
      </w:r>
      <w:proofErr w:type="spellStart"/>
      <w:r w:rsidRPr="00F44843">
        <w:rPr>
          <w:rFonts w:asciiTheme="minorHAnsi" w:hAnsiTheme="minorHAnsi"/>
          <w:sz w:val="28"/>
          <w:szCs w:val="22"/>
        </w:rPr>
        <w:t>CaATiER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phenomenon is highly reproducible in all the cell types we tested.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702AA0E" w14:textId="77777777" w:rsidR="00C26EB4" w:rsidRPr="00F44843" w:rsidRDefault="00C26EB4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b/>
          <w:sz w:val="28"/>
          <w:szCs w:val="22"/>
        </w:rPr>
      </w:pPr>
      <w:r w:rsidRPr="00F44843">
        <w:rPr>
          <w:rFonts w:asciiTheme="minorHAnsi" w:hAnsiTheme="minorHAnsi"/>
          <w:b/>
          <w:sz w:val="28"/>
          <w:szCs w:val="22"/>
        </w:rPr>
        <w:lastRenderedPageBreak/>
        <w:t>Statistical reporting</w:t>
      </w:r>
    </w:p>
    <w:p w14:paraId="316CEA9D" w14:textId="7720ADCD" w:rsidR="00C26EB4" w:rsidRPr="00F44843" w:rsidRDefault="00F44843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A detailed description of statistical method used can be found in </w:t>
      </w:r>
      <w:r w:rsidRPr="00D57B28">
        <w:rPr>
          <w:rFonts w:asciiTheme="minorHAnsi" w:hAnsiTheme="minorHAnsi"/>
          <w:b/>
          <w:i/>
          <w:sz w:val="28"/>
          <w:szCs w:val="22"/>
        </w:rPr>
        <w:t>Supplemental Information</w:t>
      </w:r>
      <w:r w:rsidR="00D57B28">
        <w:rPr>
          <w:rFonts w:asciiTheme="minorHAnsi" w:hAnsiTheme="minorHAnsi"/>
          <w:sz w:val="28"/>
          <w:szCs w:val="22"/>
        </w:rPr>
        <w:t xml:space="preserve">, </w:t>
      </w:r>
      <w:r w:rsidRPr="00F44843">
        <w:rPr>
          <w:rFonts w:asciiTheme="minorHAnsi" w:hAnsiTheme="minorHAnsi"/>
          <w:sz w:val="28"/>
          <w:szCs w:val="22"/>
        </w:rPr>
        <w:t>Section 5 – under “</w:t>
      </w:r>
      <w:r w:rsidRPr="00F44843">
        <w:rPr>
          <w:rFonts w:asciiTheme="minorHAnsi" w:hAnsiTheme="minorHAnsi"/>
          <w:i/>
          <w:sz w:val="28"/>
          <w:szCs w:val="22"/>
        </w:rPr>
        <w:t>Quantification and Statistical Analysis</w:t>
      </w:r>
      <w:r w:rsidRPr="00F44843">
        <w:rPr>
          <w:rFonts w:asciiTheme="minorHAnsi" w:hAnsiTheme="minorHAnsi"/>
          <w:sz w:val="28"/>
          <w:szCs w:val="22"/>
        </w:rPr>
        <w:t>”.</w:t>
      </w:r>
      <w:r>
        <w:rPr>
          <w:rFonts w:asciiTheme="minorHAnsi" w:hAnsiTheme="minorHAnsi"/>
          <w:sz w:val="28"/>
          <w:szCs w:val="22"/>
        </w:rPr>
        <w:t xml:space="preserve"> </w:t>
      </w:r>
      <w:r w:rsidR="00C26EB4" w:rsidRPr="00F44843">
        <w:rPr>
          <w:rFonts w:asciiTheme="minorHAnsi" w:hAnsiTheme="minorHAnsi"/>
          <w:sz w:val="28"/>
          <w:szCs w:val="22"/>
        </w:rPr>
        <w:t xml:space="preserve">Since we used both flow cytometry based FRET assay and fluorescent microscope based FRET assay, the statistical analysis is contingent on the method. </w:t>
      </w:r>
    </w:p>
    <w:p w14:paraId="195703F3" w14:textId="77777777" w:rsidR="00C26EB4" w:rsidRPr="00F44843" w:rsidRDefault="00C26EB4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</w:p>
    <w:p w14:paraId="5696B6BB" w14:textId="77777777" w:rsidR="00C26EB4" w:rsidRPr="00F44843" w:rsidRDefault="00C26EB4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For </w:t>
      </w:r>
      <w:r w:rsidRPr="00F44843">
        <w:rPr>
          <w:rFonts w:asciiTheme="minorHAnsi" w:hAnsiTheme="minorHAnsi"/>
          <w:sz w:val="28"/>
          <w:szCs w:val="22"/>
          <w:u w:val="single"/>
        </w:rPr>
        <w:t>flow cytometry based FRET assay</w:t>
      </w:r>
      <w:r w:rsidRPr="00F44843">
        <w:rPr>
          <w:rFonts w:asciiTheme="minorHAnsi" w:hAnsiTheme="minorHAnsi"/>
          <w:sz w:val="28"/>
          <w:szCs w:val="22"/>
        </w:rPr>
        <w:t xml:space="preserve"> the geometric means of fluorescence intensities (</w:t>
      </w:r>
      <w:proofErr w:type="spellStart"/>
      <w:r w:rsidRPr="00F44843">
        <w:rPr>
          <w:rFonts w:asciiTheme="minorHAnsi" w:hAnsiTheme="minorHAnsi"/>
          <w:sz w:val="28"/>
          <w:szCs w:val="22"/>
        </w:rPr>
        <w:t>gMFI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) were applied for population statistics analysis, as </w:t>
      </w:r>
      <w:proofErr w:type="spellStart"/>
      <w:r w:rsidRPr="00F44843">
        <w:rPr>
          <w:rFonts w:asciiTheme="minorHAnsi" w:hAnsiTheme="minorHAnsi"/>
          <w:sz w:val="28"/>
          <w:szCs w:val="22"/>
        </w:rPr>
        <w:t>ratiometric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parameters usually follow a log-normal distribution. Compartmental ATP and/or Ca2+ levels were compared using the “</w:t>
      </w:r>
      <w:r w:rsidRPr="00D57B28">
        <w:rPr>
          <w:rFonts w:asciiTheme="minorHAnsi" w:hAnsiTheme="minorHAnsi"/>
          <w:i/>
          <w:sz w:val="28"/>
          <w:szCs w:val="22"/>
        </w:rPr>
        <w:t>Ordinary Two-way ANOVA</w:t>
      </w:r>
      <w:r w:rsidRPr="00F44843">
        <w:rPr>
          <w:rFonts w:asciiTheme="minorHAnsi" w:hAnsiTheme="minorHAnsi"/>
          <w:sz w:val="28"/>
          <w:szCs w:val="22"/>
        </w:rPr>
        <w:t xml:space="preserve">” function provided by </w:t>
      </w:r>
      <w:proofErr w:type="spellStart"/>
      <w:r w:rsidRPr="00F44843">
        <w:rPr>
          <w:rFonts w:asciiTheme="minorHAnsi" w:hAnsiTheme="minorHAnsi"/>
          <w:sz w:val="28"/>
          <w:szCs w:val="22"/>
        </w:rPr>
        <w:t>GraphPad’s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</w:t>
      </w:r>
      <w:r w:rsidRPr="00D57B28">
        <w:rPr>
          <w:rFonts w:asciiTheme="minorHAnsi" w:hAnsiTheme="minorHAnsi"/>
          <w:i/>
          <w:sz w:val="28"/>
          <w:szCs w:val="22"/>
        </w:rPr>
        <w:t>Prism</w:t>
      </w:r>
      <w:r w:rsidRPr="00F44843">
        <w:rPr>
          <w:rFonts w:asciiTheme="minorHAnsi" w:hAnsiTheme="minorHAnsi"/>
          <w:sz w:val="28"/>
          <w:szCs w:val="22"/>
        </w:rPr>
        <w:t xml:space="preserve"> software (</w:t>
      </w:r>
      <w:proofErr w:type="spellStart"/>
      <w:r w:rsidRPr="00F44843">
        <w:rPr>
          <w:rFonts w:asciiTheme="minorHAnsi" w:hAnsiTheme="minorHAnsi"/>
          <w:sz w:val="28"/>
          <w:szCs w:val="22"/>
        </w:rPr>
        <w:t>Ver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: 7.0), with alpha level of 0.05. Time and compounds were assumed two independent parameters for </w:t>
      </w:r>
      <w:r w:rsidRPr="00D57B28">
        <w:rPr>
          <w:rFonts w:asciiTheme="minorHAnsi" w:hAnsiTheme="minorHAnsi"/>
          <w:i/>
          <w:sz w:val="28"/>
          <w:szCs w:val="22"/>
        </w:rPr>
        <w:t>ANOVA</w:t>
      </w:r>
      <w:r w:rsidRPr="00F44843">
        <w:rPr>
          <w:rFonts w:asciiTheme="minorHAnsi" w:hAnsiTheme="minorHAnsi"/>
          <w:sz w:val="28"/>
          <w:szCs w:val="22"/>
        </w:rPr>
        <w:t xml:space="preserve"> analysis. </w:t>
      </w:r>
      <w:proofErr w:type="spellStart"/>
      <w:r w:rsidRPr="00D57B28">
        <w:rPr>
          <w:rFonts w:asciiTheme="minorHAnsi" w:hAnsiTheme="minorHAnsi"/>
          <w:i/>
          <w:sz w:val="28"/>
          <w:szCs w:val="22"/>
        </w:rPr>
        <w:t>Dunnett</w:t>
      </w:r>
      <w:r w:rsidRPr="00F44843">
        <w:rPr>
          <w:rFonts w:asciiTheme="minorHAnsi" w:hAnsiTheme="minorHAnsi"/>
          <w:sz w:val="28"/>
          <w:szCs w:val="22"/>
        </w:rPr>
        <w:t>’s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multiple comparisons test was subsequently performed for comparison between individual groups versus diluent control (DMSO or PBS), or control group as indicated for particular experiments. </w:t>
      </w:r>
    </w:p>
    <w:p w14:paraId="614D6089" w14:textId="44B19680" w:rsidR="0015519A" w:rsidRPr="00F44843" w:rsidRDefault="00C26EB4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Secondly for </w:t>
      </w:r>
      <w:r w:rsidRPr="00D57B28">
        <w:rPr>
          <w:rFonts w:asciiTheme="minorHAnsi" w:hAnsiTheme="minorHAnsi"/>
          <w:sz w:val="28"/>
          <w:szCs w:val="22"/>
          <w:u w:val="single"/>
        </w:rPr>
        <w:t>flow cytometry based FRET assay</w:t>
      </w:r>
      <w:r w:rsidRPr="00F44843">
        <w:rPr>
          <w:rFonts w:asciiTheme="minorHAnsi" w:hAnsiTheme="minorHAnsi"/>
          <w:sz w:val="28"/>
          <w:szCs w:val="22"/>
        </w:rPr>
        <w:t xml:space="preserve"> - Since large number of cells were analyzed for every data point, plotting error bars of SEM </w:t>
      </w:r>
      <w:r w:rsidR="00D57B28">
        <w:rPr>
          <w:rFonts w:asciiTheme="minorHAnsi" w:hAnsiTheme="minorHAnsi"/>
          <w:sz w:val="28"/>
          <w:szCs w:val="22"/>
        </w:rPr>
        <w:t>was often difficult</w:t>
      </w:r>
      <w:r w:rsidRPr="00F44843">
        <w:rPr>
          <w:rFonts w:asciiTheme="minorHAnsi" w:hAnsiTheme="minorHAnsi"/>
          <w:sz w:val="28"/>
          <w:szCs w:val="22"/>
        </w:rPr>
        <w:t xml:space="preserve">, as </w:t>
      </w:r>
      <w:r w:rsidRPr="00D57B28">
        <w:rPr>
          <w:rFonts w:asciiTheme="minorHAnsi" w:hAnsiTheme="minorHAnsi"/>
          <w:b/>
          <w:sz w:val="28"/>
          <w:szCs w:val="22"/>
        </w:rPr>
        <w:t>SEM</w:t>
      </w:r>
      <w:r w:rsidRPr="00F44843">
        <w:rPr>
          <w:rFonts w:asciiTheme="minorHAnsi" w:hAnsiTheme="minorHAnsi"/>
          <w:sz w:val="28"/>
          <w:szCs w:val="22"/>
        </w:rPr>
        <w:t xml:space="preserve"> = S</w:t>
      </w:r>
      <w:r w:rsidR="00CE0F7A">
        <w:rPr>
          <w:rFonts w:asciiTheme="minorHAnsi" w:hAnsiTheme="minorHAnsi"/>
          <w:sz w:val="28"/>
          <w:szCs w:val="22"/>
        </w:rPr>
        <w:t>tandard deviation (S.D.)</w:t>
      </w:r>
      <w:r w:rsidRPr="00F44843">
        <w:rPr>
          <w:rFonts w:asciiTheme="minorHAnsi" w:hAnsiTheme="minorHAnsi"/>
          <w:sz w:val="28"/>
          <w:szCs w:val="22"/>
        </w:rPr>
        <w:t>/ S</w:t>
      </w:r>
      <w:r w:rsidR="00CE0F7A">
        <w:rPr>
          <w:rFonts w:asciiTheme="minorHAnsi" w:hAnsiTheme="minorHAnsi"/>
          <w:sz w:val="28"/>
          <w:szCs w:val="22"/>
        </w:rPr>
        <w:t>quare root</w:t>
      </w:r>
      <w:r w:rsidRPr="00F44843">
        <w:rPr>
          <w:rFonts w:asciiTheme="minorHAnsi" w:hAnsiTheme="minorHAnsi"/>
          <w:sz w:val="28"/>
          <w:szCs w:val="22"/>
        </w:rPr>
        <w:t xml:space="preserve"> of (N), where N = sample size. We deem it obvious that a large N will inevitably reduce the absolute value of the SEM, making it difficult to add an error bar, as “</w:t>
      </w:r>
      <w:r w:rsidRPr="00D57B28">
        <w:rPr>
          <w:rFonts w:asciiTheme="minorHAnsi" w:hAnsiTheme="minorHAnsi"/>
          <w:i/>
          <w:sz w:val="28"/>
          <w:szCs w:val="22"/>
        </w:rPr>
        <w:t>For some points, the error bars would be shorter than the height of the symbol. In these cases, Prism simply does not draw the error bars.</w:t>
      </w:r>
      <w:r w:rsidRPr="00F44843">
        <w:rPr>
          <w:rFonts w:asciiTheme="minorHAnsi" w:hAnsiTheme="minorHAnsi"/>
          <w:sz w:val="28"/>
          <w:szCs w:val="22"/>
        </w:rPr>
        <w:t>” (Quoting from the Prism statistical analysis software)</w:t>
      </w:r>
    </w:p>
    <w:p w14:paraId="6802EB2C" w14:textId="77777777" w:rsidR="00C26EB4" w:rsidRPr="00B747C5" w:rsidRDefault="00C26EB4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8"/>
          <w:szCs w:val="22"/>
        </w:rPr>
      </w:pPr>
    </w:p>
    <w:p w14:paraId="7B3EFB26" w14:textId="23480C7B" w:rsidR="00C26EB4" w:rsidRPr="00B747C5" w:rsidRDefault="00CE0F7A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>
        <w:rPr>
          <w:rFonts w:asciiTheme="minorHAnsi" w:hAnsiTheme="minorHAnsi"/>
          <w:sz w:val="28"/>
          <w:szCs w:val="22"/>
        </w:rPr>
        <w:t xml:space="preserve">For </w:t>
      </w:r>
      <w:r w:rsidR="00C26EB4" w:rsidRPr="00CE0F7A">
        <w:rPr>
          <w:rFonts w:asciiTheme="minorHAnsi" w:hAnsiTheme="minorHAnsi"/>
          <w:sz w:val="28"/>
          <w:szCs w:val="22"/>
          <w:u w:val="single"/>
        </w:rPr>
        <w:t>fluorescent microscop</w:t>
      </w:r>
      <w:r w:rsidRPr="00CE0F7A">
        <w:rPr>
          <w:rFonts w:asciiTheme="minorHAnsi" w:hAnsiTheme="minorHAnsi"/>
          <w:sz w:val="28"/>
          <w:szCs w:val="22"/>
          <w:u w:val="single"/>
        </w:rPr>
        <w:t>y</w:t>
      </w:r>
      <w:r w:rsidR="00791EA9" w:rsidRPr="00CE0F7A">
        <w:rPr>
          <w:rFonts w:asciiTheme="minorHAnsi" w:hAnsiTheme="minorHAnsi"/>
          <w:sz w:val="28"/>
          <w:szCs w:val="22"/>
          <w:u w:val="single"/>
        </w:rPr>
        <w:t>-</w:t>
      </w:r>
      <w:r w:rsidR="00C26EB4" w:rsidRPr="00CE0F7A">
        <w:rPr>
          <w:rFonts w:asciiTheme="minorHAnsi" w:hAnsiTheme="minorHAnsi"/>
          <w:sz w:val="28"/>
          <w:szCs w:val="22"/>
          <w:u w:val="single"/>
        </w:rPr>
        <w:t xml:space="preserve">based FRET </w:t>
      </w:r>
      <w:r w:rsidR="00791EA9" w:rsidRPr="00CE0F7A">
        <w:rPr>
          <w:rFonts w:asciiTheme="minorHAnsi" w:hAnsiTheme="minorHAnsi"/>
          <w:sz w:val="28"/>
          <w:szCs w:val="22"/>
          <w:u w:val="single"/>
        </w:rPr>
        <w:t>measurement</w:t>
      </w:r>
      <w:r w:rsidR="004F2121" w:rsidRPr="004F2121">
        <w:rPr>
          <w:rFonts w:asciiTheme="minorHAnsi" w:hAnsiTheme="minorHAnsi"/>
          <w:sz w:val="28"/>
          <w:szCs w:val="22"/>
        </w:rPr>
        <w:t>,</w:t>
      </w:r>
      <w:r w:rsidR="00791EA9" w:rsidRPr="00B747C5">
        <w:rPr>
          <w:rFonts w:asciiTheme="minorHAnsi" w:hAnsiTheme="minorHAnsi"/>
          <w:sz w:val="28"/>
          <w:szCs w:val="22"/>
        </w:rPr>
        <w:t xml:space="preserve"> </w:t>
      </w:r>
      <w:r w:rsidR="004F2121" w:rsidRPr="00F44843">
        <w:rPr>
          <w:rFonts w:asciiTheme="minorHAnsi" w:hAnsiTheme="minorHAnsi"/>
          <w:sz w:val="28"/>
          <w:szCs w:val="22"/>
        </w:rPr>
        <w:t>statistical method</w:t>
      </w:r>
      <w:r w:rsidR="004F2121">
        <w:rPr>
          <w:rFonts w:asciiTheme="minorHAnsi" w:hAnsiTheme="minorHAnsi"/>
          <w:sz w:val="28"/>
          <w:szCs w:val="22"/>
        </w:rPr>
        <w:t>s</w:t>
      </w:r>
      <w:r w:rsidR="004F2121" w:rsidRPr="00F44843">
        <w:rPr>
          <w:rFonts w:asciiTheme="minorHAnsi" w:hAnsiTheme="minorHAnsi"/>
          <w:sz w:val="28"/>
          <w:szCs w:val="22"/>
        </w:rPr>
        <w:t xml:space="preserve"> used </w:t>
      </w:r>
      <w:r w:rsidR="004F2121">
        <w:rPr>
          <w:rFonts w:asciiTheme="minorHAnsi" w:hAnsiTheme="minorHAnsi"/>
          <w:sz w:val="28"/>
          <w:szCs w:val="22"/>
        </w:rPr>
        <w:t>are:</w:t>
      </w:r>
      <w:r w:rsidR="00791EA9" w:rsidRPr="00B747C5">
        <w:rPr>
          <w:rFonts w:asciiTheme="minorHAnsi" w:hAnsiTheme="minorHAnsi"/>
          <w:sz w:val="28"/>
          <w:szCs w:val="22"/>
        </w:rPr>
        <w:t xml:space="preserve"> </w:t>
      </w:r>
      <w:r w:rsidR="004F2121">
        <w:rPr>
          <w:rFonts w:asciiTheme="minorHAnsi" w:hAnsiTheme="minorHAnsi"/>
          <w:sz w:val="28"/>
          <w:szCs w:val="22"/>
        </w:rPr>
        <w:t>1).</w:t>
      </w:r>
      <w:r w:rsidR="00791EA9" w:rsidRPr="00B747C5">
        <w:rPr>
          <w:rFonts w:asciiTheme="minorHAnsi" w:hAnsiTheme="minorHAnsi"/>
          <w:sz w:val="28"/>
          <w:szCs w:val="22"/>
        </w:rPr>
        <w:t xml:space="preserve"> </w:t>
      </w:r>
      <w:r w:rsidR="004F2121" w:rsidRPr="004F2121">
        <w:rPr>
          <w:rFonts w:asciiTheme="minorHAnsi" w:hAnsiTheme="minorHAnsi"/>
          <w:i/>
          <w:sz w:val="28"/>
          <w:szCs w:val="22"/>
        </w:rPr>
        <w:t>Student</w:t>
      </w:r>
      <w:r w:rsidR="004F2121">
        <w:rPr>
          <w:rFonts w:asciiTheme="minorHAnsi" w:hAnsiTheme="minorHAnsi"/>
          <w:sz w:val="28"/>
          <w:szCs w:val="22"/>
        </w:rPr>
        <w:t xml:space="preserve">’s </w:t>
      </w:r>
      <w:r w:rsidR="00791EA9" w:rsidRPr="00B747C5">
        <w:rPr>
          <w:rFonts w:asciiTheme="minorHAnsi" w:hAnsiTheme="minorHAnsi"/>
          <w:sz w:val="28"/>
          <w:szCs w:val="22"/>
        </w:rPr>
        <w:t xml:space="preserve">t-test </w:t>
      </w:r>
      <w:r w:rsidR="004F2121">
        <w:rPr>
          <w:rFonts w:asciiTheme="minorHAnsi" w:hAnsiTheme="minorHAnsi"/>
          <w:sz w:val="28"/>
          <w:szCs w:val="22"/>
        </w:rPr>
        <w:t>(</w:t>
      </w:r>
      <w:r w:rsidR="004F2121" w:rsidRPr="00B747C5">
        <w:rPr>
          <w:rFonts w:asciiTheme="minorHAnsi" w:hAnsiTheme="minorHAnsi"/>
          <w:sz w:val="28"/>
          <w:szCs w:val="22"/>
        </w:rPr>
        <w:t>unpaired</w:t>
      </w:r>
      <w:r w:rsidR="004F2121">
        <w:rPr>
          <w:rFonts w:asciiTheme="minorHAnsi" w:hAnsiTheme="minorHAnsi"/>
          <w:sz w:val="28"/>
          <w:szCs w:val="22"/>
        </w:rPr>
        <w:t>),</w:t>
      </w:r>
      <w:r w:rsidR="004F2121" w:rsidRPr="00B747C5">
        <w:rPr>
          <w:rFonts w:asciiTheme="minorHAnsi" w:hAnsiTheme="minorHAnsi"/>
          <w:sz w:val="28"/>
          <w:szCs w:val="22"/>
        </w:rPr>
        <w:t xml:space="preserve"> </w:t>
      </w:r>
      <w:r w:rsidR="00791EA9" w:rsidRPr="00B747C5">
        <w:rPr>
          <w:rFonts w:asciiTheme="minorHAnsi" w:hAnsiTheme="minorHAnsi"/>
          <w:sz w:val="28"/>
          <w:szCs w:val="22"/>
        </w:rPr>
        <w:t xml:space="preserve">for comparison of </w:t>
      </w:r>
      <w:r w:rsidR="0025667B" w:rsidRPr="00B747C5">
        <w:rPr>
          <w:rFonts w:asciiTheme="minorHAnsi" w:hAnsiTheme="minorHAnsi"/>
          <w:sz w:val="28"/>
          <w:szCs w:val="22"/>
        </w:rPr>
        <w:t>two varia</w:t>
      </w:r>
      <w:r w:rsidR="00964CE5" w:rsidRPr="00B747C5">
        <w:rPr>
          <w:rFonts w:asciiTheme="minorHAnsi" w:hAnsiTheme="minorHAnsi"/>
          <w:sz w:val="28"/>
          <w:szCs w:val="22"/>
        </w:rPr>
        <w:t>bles from independent measureme</w:t>
      </w:r>
      <w:r w:rsidR="0025667B" w:rsidRPr="00B747C5">
        <w:rPr>
          <w:rFonts w:asciiTheme="minorHAnsi" w:hAnsiTheme="minorHAnsi"/>
          <w:sz w:val="28"/>
          <w:szCs w:val="22"/>
        </w:rPr>
        <w:t>n</w:t>
      </w:r>
      <w:r w:rsidR="00964CE5" w:rsidRPr="00B747C5">
        <w:rPr>
          <w:rFonts w:asciiTheme="minorHAnsi" w:hAnsiTheme="minorHAnsi"/>
          <w:sz w:val="28"/>
          <w:szCs w:val="22"/>
        </w:rPr>
        <w:t>t</w:t>
      </w:r>
      <w:r w:rsidR="0025667B" w:rsidRPr="00B747C5">
        <w:rPr>
          <w:rFonts w:asciiTheme="minorHAnsi" w:hAnsiTheme="minorHAnsi"/>
          <w:sz w:val="28"/>
          <w:szCs w:val="22"/>
        </w:rPr>
        <w:t>s (</w:t>
      </w:r>
      <w:r w:rsidR="004F2121">
        <w:rPr>
          <w:rFonts w:asciiTheme="minorHAnsi" w:hAnsiTheme="minorHAnsi"/>
          <w:sz w:val="28"/>
          <w:szCs w:val="22"/>
        </w:rPr>
        <w:t xml:space="preserve">e.g. </w:t>
      </w:r>
      <w:r w:rsidR="004F2121" w:rsidRPr="004F2121">
        <w:rPr>
          <w:rFonts w:asciiTheme="minorHAnsi" w:hAnsiTheme="minorHAnsi"/>
          <w:b/>
          <w:sz w:val="28"/>
          <w:szCs w:val="22"/>
        </w:rPr>
        <w:t>Fig.</w:t>
      </w:r>
      <w:r w:rsidR="0025667B" w:rsidRPr="004F2121">
        <w:rPr>
          <w:rFonts w:asciiTheme="minorHAnsi" w:hAnsiTheme="minorHAnsi"/>
          <w:b/>
          <w:sz w:val="28"/>
          <w:szCs w:val="22"/>
        </w:rPr>
        <w:t xml:space="preserve"> 4K</w:t>
      </w:r>
      <w:r w:rsidR="0025667B" w:rsidRPr="00B747C5">
        <w:rPr>
          <w:rFonts w:asciiTheme="minorHAnsi" w:hAnsiTheme="minorHAnsi"/>
          <w:sz w:val="28"/>
          <w:szCs w:val="22"/>
        </w:rPr>
        <w:t>)</w:t>
      </w:r>
      <w:r w:rsidR="004F2121">
        <w:rPr>
          <w:rFonts w:asciiTheme="minorHAnsi" w:hAnsiTheme="minorHAnsi"/>
          <w:sz w:val="28"/>
          <w:szCs w:val="22"/>
        </w:rPr>
        <w:t>; 2).</w:t>
      </w:r>
      <w:r w:rsidR="00791EA9" w:rsidRPr="00B747C5">
        <w:rPr>
          <w:rFonts w:asciiTheme="minorHAnsi" w:hAnsiTheme="minorHAnsi"/>
          <w:sz w:val="28"/>
          <w:szCs w:val="22"/>
        </w:rPr>
        <w:t xml:space="preserve"> </w:t>
      </w:r>
      <w:r w:rsidR="004F2121">
        <w:rPr>
          <w:rFonts w:asciiTheme="minorHAnsi" w:hAnsiTheme="minorHAnsi"/>
          <w:sz w:val="28"/>
          <w:szCs w:val="22"/>
        </w:rPr>
        <w:t>O</w:t>
      </w:r>
      <w:r w:rsidR="00791EA9" w:rsidRPr="00B747C5">
        <w:rPr>
          <w:rFonts w:asciiTheme="minorHAnsi" w:hAnsiTheme="minorHAnsi"/>
          <w:sz w:val="28"/>
          <w:szCs w:val="22"/>
        </w:rPr>
        <w:t xml:space="preserve">ne-way </w:t>
      </w:r>
      <w:r w:rsidR="00791EA9" w:rsidRPr="004F2121">
        <w:rPr>
          <w:rFonts w:asciiTheme="minorHAnsi" w:hAnsiTheme="minorHAnsi"/>
          <w:i/>
          <w:sz w:val="28"/>
          <w:szCs w:val="22"/>
        </w:rPr>
        <w:t>ANOVA</w:t>
      </w:r>
      <w:r w:rsidR="004F2121" w:rsidRPr="004F2121">
        <w:rPr>
          <w:rFonts w:asciiTheme="minorHAnsi" w:hAnsiTheme="minorHAnsi"/>
          <w:sz w:val="28"/>
          <w:szCs w:val="22"/>
        </w:rPr>
        <w:t>,</w:t>
      </w:r>
      <w:r w:rsidR="00791EA9" w:rsidRPr="004F2121">
        <w:rPr>
          <w:rFonts w:asciiTheme="minorHAnsi" w:hAnsiTheme="minorHAnsi"/>
          <w:sz w:val="28"/>
          <w:szCs w:val="22"/>
        </w:rPr>
        <w:t xml:space="preserve"> </w:t>
      </w:r>
      <w:r w:rsidR="0025667B" w:rsidRPr="00B747C5">
        <w:rPr>
          <w:rFonts w:asciiTheme="minorHAnsi" w:hAnsiTheme="minorHAnsi"/>
          <w:sz w:val="28"/>
          <w:szCs w:val="22"/>
        </w:rPr>
        <w:t>for comparison of multiple data-points or variables (&gt;2) from independent measurements (</w:t>
      </w:r>
      <w:r w:rsidR="004F2121">
        <w:rPr>
          <w:rFonts w:asciiTheme="minorHAnsi" w:hAnsiTheme="minorHAnsi"/>
          <w:sz w:val="28"/>
          <w:szCs w:val="22"/>
        </w:rPr>
        <w:t xml:space="preserve">e.g. </w:t>
      </w:r>
      <w:r w:rsidR="004F2121" w:rsidRPr="004F2121">
        <w:rPr>
          <w:rFonts w:asciiTheme="minorHAnsi" w:hAnsiTheme="minorHAnsi"/>
          <w:b/>
          <w:sz w:val="28"/>
          <w:szCs w:val="22"/>
        </w:rPr>
        <w:t>Fig 1</w:t>
      </w:r>
      <w:r w:rsidR="004F2121">
        <w:rPr>
          <w:rFonts w:asciiTheme="minorHAnsi" w:hAnsiTheme="minorHAnsi"/>
          <w:sz w:val="28"/>
          <w:szCs w:val="22"/>
        </w:rPr>
        <w:t xml:space="preserve"> - </w:t>
      </w:r>
      <w:r w:rsidR="004F2121" w:rsidRPr="004F2121">
        <w:rPr>
          <w:rFonts w:asciiTheme="minorHAnsi" w:hAnsiTheme="minorHAnsi"/>
          <w:i/>
          <w:sz w:val="28"/>
          <w:szCs w:val="22"/>
        </w:rPr>
        <w:t>Figure Supplement</w:t>
      </w:r>
      <w:r w:rsidR="0025667B" w:rsidRPr="004F2121">
        <w:rPr>
          <w:rFonts w:asciiTheme="minorHAnsi" w:hAnsiTheme="minorHAnsi"/>
          <w:i/>
          <w:sz w:val="28"/>
          <w:szCs w:val="22"/>
        </w:rPr>
        <w:t xml:space="preserve"> 5</w:t>
      </w:r>
      <w:r w:rsidR="004F2121" w:rsidRPr="004F2121">
        <w:rPr>
          <w:rFonts w:asciiTheme="minorHAnsi" w:hAnsiTheme="minorHAnsi"/>
          <w:i/>
          <w:sz w:val="28"/>
          <w:szCs w:val="22"/>
        </w:rPr>
        <w:t>G</w:t>
      </w:r>
      <w:r w:rsidR="0025667B" w:rsidRPr="00B747C5">
        <w:rPr>
          <w:rFonts w:asciiTheme="minorHAnsi" w:hAnsiTheme="minorHAnsi"/>
          <w:sz w:val="28"/>
          <w:szCs w:val="22"/>
        </w:rPr>
        <w:t xml:space="preserve"> </w:t>
      </w:r>
      <w:r w:rsidR="004F2121">
        <w:rPr>
          <w:rFonts w:asciiTheme="minorHAnsi" w:hAnsiTheme="minorHAnsi"/>
          <w:sz w:val="28"/>
          <w:szCs w:val="22"/>
        </w:rPr>
        <w:t xml:space="preserve">and </w:t>
      </w:r>
      <w:r w:rsidR="004F2121" w:rsidRPr="004F2121">
        <w:rPr>
          <w:rFonts w:asciiTheme="minorHAnsi" w:hAnsiTheme="minorHAnsi"/>
          <w:b/>
          <w:sz w:val="28"/>
          <w:szCs w:val="22"/>
        </w:rPr>
        <w:t>Fig. 2</w:t>
      </w:r>
      <w:r w:rsidR="0025667B" w:rsidRPr="00B747C5">
        <w:rPr>
          <w:rFonts w:asciiTheme="minorHAnsi" w:hAnsiTheme="minorHAnsi"/>
          <w:sz w:val="28"/>
          <w:szCs w:val="22"/>
        </w:rPr>
        <w:t xml:space="preserve"> </w:t>
      </w:r>
      <w:r w:rsidR="004F2121">
        <w:rPr>
          <w:rFonts w:asciiTheme="minorHAnsi" w:hAnsiTheme="minorHAnsi"/>
          <w:sz w:val="28"/>
          <w:szCs w:val="22"/>
        </w:rPr>
        <w:t xml:space="preserve">– </w:t>
      </w:r>
      <w:r w:rsidR="004F2121" w:rsidRPr="004F2121">
        <w:rPr>
          <w:rFonts w:asciiTheme="minorHAnsi" w:hAnsiTheme="minorHAnsi"/>
          <w:i/>
          <w:sz w:val="28"/>
          <w:szCs w:val="22"/>
        </w:rPr>
        <w:t>Figure S</w:t>
      </w:r>
      <w:r w:rsidR="0025667B" w:rsidRPr="004F2121">
        <w:rPr>
          <w:rFonts w:asciiTheme="minorHAnsi" w:hAnsiTheme="minorHAnsi"/>
          <w:i/>
          <w:sz w:val="28"/>
          <w:szCs w:val="22"/>
        </w:rPr>
        <w:t>uppl</w:t>
      </w:r>
      <w:r w:rsidR="004F2121" w:rsidRPr="004F2121">
        <w:rPr>
          <w:rFonts w:asciiTheme="minorHAnsi" w:hAnsiTheme="minorHAnsi"/>
          <w:i/>
          <w:sz w:val="28"/>
          <w:szCs w:val="22"/>
        </w:rPr>
        <w:t xml:space="preserve">ement </w:t>
      </w:r>
      <w:r w:rsidR="0025667B" w:rsidRPr="004F2121">
        <w:rPr>
          <w:rFonts w:asciiTheme="minorHAnsi" w:hAnsiTheme="minorHAnsi"/>
          <w:i/>
          <w:sz w:val="28"/>
          <w:szCs w:val="22"/>
        </w:rPr>
        <w:t>1</w:t>
      </w:r>
      <w:r w:rsidR="004F2121">
        <w:rPr>
          <w:rFonts w:asciiTheme="minorHAnsi" w:hAnsiTheme="minorHAnsi"/>
          <w:i/>
          <w:sz w:val="28"/>
          <w:szCs w:val="22"/>
        </w:rPr>
        <w:t>B and 1C</w:t>
      </w:r>
      <w:r w:rsidR="0025667B" w:rsidRPr="00B747C5">
        <w:rPr>
          <w:rFonts w:asciiTheme="minorHAnsi" w:hAnsiTheme="minorHAnsi"/>
          <w:sz w:val="28"/>
          <w:szCs w:val="22"/>
        </w:rPr>
        <w:t>).</w:t>
      </w:r>
    </w:p>
    <w:p w14:paraId="5304D3D2" w14:textId="77777777" w:rsidR="00C26EB4" w:rsidRPr="00505C51" w:rsidRDefault="00C26EB4" w:rsidP="004F2121">
      <w:pPr>
        <w:framePr w:w="8413" w:h="1088" w:hSpace="180" w:wrap="around" w:vAnchor="text" w:hAnchor="page" w:x="1681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2C4C3697" w:rsidR="00C26EB4" w:rsidRDefault="00FF5ED7" w:rsidP="00FF5ED7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E6492F0" w14:textId="50DD4991" w:rsidR="008669DA" w:rsidRPr="00505C51" w:rsidRDefault="00C26EB4" w:rsidP="00FF5ED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br w:type="page"/>
      </w:r>
      <w:r w:rsidR="008669DA" w:rsidRPr="00505C51">
        <w:rPr>
          <w:rFonts w:asciiTheme="minorHAnsi" w:hAnsiTheme="minorHAnsi"/>
          <w:b/>
          <w:sz w:val="22"/>
          <w:szCs w:val="22"/>
        </w:rPr>
        <w:lastRenderedPageBreak/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CC1A022" w14:textId="77777777" w:rsidR="00D57B28" w:rsidRPr="00F44843" w:rsidRDefault="00D57B28" w:rsidP="00D57B28">
      <w:pPr>
        <w:framePr w:w="8149" w:h="1088" w:hSpace="180" w:wrap="around" w:vAnchor="text" w:hAnchor="page" w:x="1861" w:y="99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Cells were randomly chosen to be allocated to experimental groups. </w:t>
      </w:r>
    </w:p>
    <w:p w14:paraId="4B28FC03" w14:textId="77777777" w:rsidR="00D57B28" w:rsidRPr="00F44843" w:rsidRDefault="00D57B28" w:rsidP="00D57B28">
      <w:pPr>
        <w:framePr w:w="8149" w:h="1088" w:hSpace="180" w:wrap="around" w:vAnchor="text" w:hAnchor="page" w:x="1861" w:y="99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</w:p>
    <w:p w14:paraId="7E58D9C0" w14:textId="77777777" w:rsidR="00D57B28" w:rsidRPr="00F44843" w:rsidRDefault="00D57B28" w:rsidP="00D57B28">
      <w:pPr>
        <w:framePr w:w="8149" w:h="1088" w:hSpace="180" w:wrap="around" w:vAnchor="text" w:hAnchor="page" w:x="1861" w:y="99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For comparison of compound-exerted ER ATP effect by flow cytometry based FRET assay, cells were prepared and allocated using the following scheme – </w:t>
      </w:r>
    </w:p>
    <w:p w14:paraId="31A692B6" w14:textId="77777777" w:rsidR="00D57B28" w:rsidRDefault="00D57B28" w:rsidP="00D57B28">
      <w:pPr>
        <w:framePr w:w="8149" w:h="1088" w:hSpace="180" w:wrap="around" w:vAnchor="text" w:hAnchor="page" w:x="1861" w:y="99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E57229D" w14:textId="703FD582" w:rsidR="00D57B28" w:rsidRPr="00505C51" w:rsidRDefault="00452391" w:rsidP="00D57B28">
      <w:pPr>
        <w:framePr w:w="8149" w:h="1088" w:hSpace="180" w:wrap="around" w:vAnchor="text" w:hAnchor="page" w:x="1861" w:y="99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pict w14:anchorId="5974DF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6pt;height:281.4pt">
            <v:imagedata r:id="rId11" o:title="NCOMMS-18-05066-A_Sppl_Yong_ATP manu_JY_Page_29" croptop="4487f"/>
          </v:shape>
        </w:pict>
      </w:r>
      <w:r w:rsidR="00D57B28">
        <w:rPr>
          <w:rFonts w:asciiTheme="minorHAnsi" w:hAnsiTheme="minorHAnsi"/>
          <w:sz w:val="22"/>
          <w:szCs w:val="22"/>
        </w:rPr>
        <w:t xml:space="preserve"> 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3AC11950" w14:textId="77777777" w:rsidR="00F44843" w:rsidRDefault="00F4484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0D4BB61E" w14:textId="0CE14FDA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12C17">
      <w:pPr>
        <w:jc w:val="both"/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D999C4" w:rsidR="00BC3CCE" w:rsidRPr="00F44843" w:rsidRDefault="00F44843" w:rsidP="00A12C17">
      <w:pPr>
        <w:framePr w:w="8185" w:h="1088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8"/>
          <w:szCs w:val="22"/>
        </w:rPr>
      </w:pPr>
      <w:r w:rsidRPr="00F44843">
        <w:rPr>
          <w:rFonts w:asciiTheme="minorHAnsi" w:hAnsiTheme="minorHAnsi"/>
          <w:sz w:val="28"/>
          <w:szCs w:val="22"/>
        </w:rPr>
        <w:t xml:space="preserve">Source data files are curated </w:t>
      </w:r>
      <w:r>
        <w:rPr>
          <w:rFonts w:asciiTheme="minorHAnsi" w:hAnsiTheme="minorHAnsi"/>
          <w:sz w:val="28"/>
          <w:szCs w:val="22"/>
        </w:rPr>
        <w:t xml:space="preserve">and stored </w:t>
      </w:r>
      <w:r w:rsidRPr="00F44843">
        <w:rPr>
          <w:rFonts w:asciiTheme="minorHAnsi" w:hAnsiTheme="minorHAnsi"/>
          <w:sz w:val="28"/>
          <w:szCs w:val="22"/>
        </w:rPr>
        <w:t xml:space="preserve">in </w:t>
      </w:r>
      <w:r w:rsidRPr="00F44843">
        <w:rPr>
          <w:rFonts w:asciiTheme="minorHAnsi" w:hAnsiTheme="minorHAnsi"/>
          <w:i/>
          <w:sz w:val="28"/>
          <w:szCs w:val="22"/>
        </w:rPr>
        <w:t>.</w:t>
      </w:r>
      <w:proofErr w:type="spellStart"/>
      <w:r w:rsidRPr="00F44843">
        <w:rPr>
          <w:rFonts w:asciiTheme="minorHAnsi" w:hAnsiTheme="minorHAnsi"/>
          <w:i/>
          <w:sz w:val="28"/>
          <w:szCs w:val="22"/>
        </w:rPr>
        <w:t>xls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format, </w:t>
      </w:r>
      <w:r w:rsidRPr="00F44843">
        <w:rPr>
          <w:rFonts w:asciiTheme="minorHAnsi" w:hAnsiTheme="minorHAnsi"/>
          <w:i/>
          <w:sz w:val="28"/>
          <w:szCs w:val="22"/>
        </w:rPr>
        <w:t>.fcs</w:t>
      </w:r>
      <w:r w:rsidRPr="00F44843">
        <w:rPr>
          <w:rFonts w:asciiTheme="minorHAnsi" w:hAnsiTheme="minorHAnsi"/>
          <w:sz w:val="28"/>
          <w:szCs w:val="22"/>
        </w:rPr>
        <w:t xml:space="preserve"> format and in </w:t>
      </w:r>
      <w:r w:rsidRPr="00F44843">
        <w:rPr>
          <w:rFonts w:asciiTheme="minorHAnsi" w:hAnsiTheme="minorHAnsi"/>
          <w:i/>
          <w:sz w:val="28"/>
          <w:szCs w:val="22"/>
        </w:rPr>
        <w:t>.</w:t>
      </w:r>
      <w:proofErr w:type="spellStart"/>
      <w:r w:rsidRPr="00F44843">
        <w:rPr>
          <w:rFonts w:asciiTheme="minorHAnsi" w:hAnsiTheme="minorHAnsi"/>
          <w:i/>
          <w:sz w:val="28"/>
          <w:szCs w:val="22"/>
        </w:rPr>
        <w:t>pzf</w:t>
      </w:r>
      <w:proofErr w:type="spellEnd"/>
      <w:r w:rsidRPr="00F44843">
        <w:rPr>
          <w:rFonts w:asciiTheme="minorHAnsi" w:hAnsiTheme="minorHAnsi"/>
          <w:sz w:val="28"/>
          <w:szCs w:val="22"/>
        </w:rPr>
        <w:t xml:space="preserve"> format, </w:t>
      </w:r>
      <w:r>
        <w:rPr>
          <w:rFonts w:asciiTheme="minorHAnsi" w:hAnsiTheme="minorHAnsi"/>
          <w:sz w:val="28"/>
          <w:szCs w:val="22"/>
        </w:rPr>
        <w:t xml:space="preserve">all of </w:t>
      </w:r>
      <w:r w:rsidRPr="00F44843">
        <w:rPr>
          <w:rFonts w:asciiTheme="minorHAnsi" w:hAnsiTheme="minorHAnsi"/>
          <w:sz w:val="28"/>
          <w:szCs w:val="22"/>
        </w:rPr>
        <w:t xml:space="preserve">which are available upon request.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DD8DA" w14:textId="77777777" w:rsidR="008073AA" w:rsidRDefault="008073AA" w:rsidP="004215FE">
      <w:r>
        <w:separator/>
      </w:r>
    </w:p>
  </w:endnote>
  <w:endnote w:type="continuationSeparator" w:id="0">
    <w:p w14:paraId="3C24A927" w14:textId="77777777" w:rsidR="008073AA" w:rsidRDefault="008073A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52391">
      <w:rPr>
        <w:rStyle w:val="PageNumber"/>
        <w:rFonts w:asciiTheme="minorHAnsi" w:hAnsiTheme="minorHAnsi"/>
        <w:noProof/>
        <w:sz w:val="20"/>
        <w:szCs w:val="20"/>
      </w:rPr>
      <w:t>6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96B4C" w14:textId="77777777" w:rsidR="008073AA" w:rsidRDefault="008073AA" w:rsidP="004215FE">
      <w:r>
        <w:separator/>
      </w:r>
    </w:p>
  </w:footnote>
  <w:footnote w:type="continuationSeparator" w:id="0">
    <w:p w14:paraId="0E536803" w14:textId="77777777" w:rsidR="008073AA" w:rsidRDefault="008073A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06C4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667B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687D"/>
    <w:rsid w:val="004479F2"/>
    <w:rsid w:val="004505C5"/>
    <w:rsid w:val="00451B01"/>
    <w:rsid w:val="00452391"/>
    <w:rsid w:val="00455849"/>
    <w:rsid w:val="00471732"/>
    <w:rsid w:val="004A5C32"/>
    <w:rsid w:val="004B02A3"/>
    <w:rsid w:val="004B41D4"/>
    <w:rsid w:val="004D5E59"/>
    <w:rsid w:val="004D602A"/>
    <w:rsid w:val="004D73CF"/>
    <w:rsid w:val="004E4945"/>
    <w:rsid w:val="004E7CF5"/>
    <w:rsid w:val="004F2121"/>
    <w:rsid w:val="004F451D"/>
    <w:rsid w:val="004F74F9"/>
    <w:rsid w:val="00505C51"/>
    <w:rsid w:val="00516A01"/>
    <w:rsid w:val="0053000A"/>
    <w:rsid w:val="00546AA3"/>
    <w:rsid w:val="00550F13"/>
    <w:rsid w:val="005530AE"/>
    <w:rsid w:val="00555F44"/>
    <w:rsid w:val="00566103"/>
    <w:rsid w:val="00582BA2"/>
    <w:rsid w:val="005B0A15"/>
    <w:rsid w:val="005F39D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551"/>
    <w:rsid w:val="00762B36"/>
    <w:rsid w:val="00763BA5"/>
    <w:rsid w:val="0076524F"/>
    <w:rsid w:val="00767B26"/>
    <w:rsid w:val="00791EA9"/>
    <w:rsid w:val="00795CED"/>
    <w:rsid w:val="007B6567"/>
    <w:rsid w:val="007B6D8A"/>
    <w:rsid w:val="007B7AF0"/>
    <w:rsid w:val="007C1A97"/>
    <w:rsid w:val="007D18C3"/>
    <w:rsid w:val="007E54D8"/>
    <w:rsid w:val="007E5880"/>
    <w:rsid w:val="007F678F"/>
    <w:rsid w:val="00800860"/>
    <w:rsid w:val="008071DA"/>
    <w:rsid w:val="008073AA"/>
    <w:rsid w:val="008165B6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4CE5"/>
    <w:rsid w:val="00993065"/>
    <w:rsid w:val="009A0661"/>
    <w:rsid w:val="009D0D28"/>
    <w:rsid w:val="009E6ACE"/>
    <w:rsid w:val="009E7B13"/>
    <w:rsid w:val="00A11EC6"/>
    <w:rsid w:val="00A12C17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47C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6EB4"/>
    <w:rsid w:val="00C42ECB"/>
    <w:rsid w:val="00C52A77"/>
    <w:rsid w:val="00C820B0"/>
    <w:rsid w:val="00CC6EF3"/>
    <w:rsid w:val="00CD6AEC"/>
    <w:rsid w:val="00CE0F7A"/>
    <w:rsid w:val="00CE6849"/>
    <w:rsid w:val="00CF4BBE"/>
    <w:rsid w:val="00CF6CB5"/>
    <w:rsid w:val="00D10224"/>
    <w:rsid w:val="00D44612"/>
    <w:rsid w:val="00D50299"/>
    <w:rsid w:val="00D5662F"/>
    <w:rsid w:val="00D57B2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1A11"/>
    <w:rsid w:val="00E41364"/>
    <w:rsid w:val="00E61AB4"/>
    <w:rsid w:val="00E70517"/>
    <w:rsid w:val="00E870D1"/>
    <w:rsid w:val="00ED346E"/>
    <w:rsid w:val="00EF7423"/>
    <w:rsid w:val="00F27DEC"/>
    <w:rsid w:val="00F3344F"/>
    <w:rsid w:val="00F4484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3C878A4-6522-459B-8C0E-1BD0EDC2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B98394-38A3-4C62-B533-076389A8E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1236</Words>
  <Characters>7048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8268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Jing Yong</cp:lastModifiedBy>
  <cp:revision>8</cp:revision>
  <cp:lastPrinted>2019-07-02T19:35:00Z</cp:lastPrinted>
  <dcterms:created xsi:type="dcterms:W3CDTF">2019-07-02T18:25:00Z</dcterms:created>
  <dcterms:modified xsi:type="dcterms:W3CDTF">2019-07-02T19:36:00Z</dcterms:modified>
</cp:coreProperties>
</file>