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AACE" w14:textId="33732073" w:rsidR="00F90696" w:rsidRDefault="00F90696" w:rsidP="00F90696">
      <w:pPr>
        <w:spacing w:line="360" w:lineRule="auto"/>
        <w:jc w:val="both"/>
        <w:rPr>
          <w:b/>
        </w:rPr>
      </w:pPr>
      <w:r>
        <w:rPr>
          <w:b/>
        </w:rPr>
        <w:t>Supplementary File 1: List of strains used.</w:t>
      </w:r>
      <w:bookmarkStart w:id="0" w:name="_GoBack"/>
      <w:bookmarkEnd w:id="0"/>
    </w:p>
    <w:tbl>
      <w:tblPr>
        <w:tblW w:w="10070" w:type="dxa"/>
        <w:tblLayout w:type="fixed"/>
        <w:tblLook w:val="0400" w:firstRow="0" w:lastRow="0" w:firstColumn="0" w:lastColumn="0" w:noHBand="0" w:noVBand="1"/>
      </w:tblPr>
      <w:tblGrid>
        <w:gridCol w:w="1255"/>
        <w:gridCol w:w="6203"/>
        <w:gridCol w:w="2612"/>
      </w:tblGrid>
      <w:tr w:rsidR="00F90696" w14:paraId="16EF5C7C" w14:textId="77777777" w:rsidTr="00EF37ED">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28DB5" w14:textId="77777777" w:rsidR="00F90696" w:rsidRDefault="00F90696" w:rsidP="00EF37ED">
            <w:pPr>
              <w:jc w:val="both"/>
              <w:rPr>
                <w:b/>
                <w:sz w:val="20"/>
                <w:szCs w:val="20"/>
              </w:rPr>
            </w:pPr>
            <w:r>
              <w:rPr>
                <w:b/>
                <w:sz w:val="20"/>
                <w:szCs w:val="20"/>
              </w:rPr>
              <w:t>Strains</w:t>
            </w:r>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32FAC" w14:textId="77777777" w:rsidR="00F90696" w:rsidRDefault="00F90696" w:rsidP="00EF37ED">
            <w:pPr>
              <w:jc w:val="both"/>
              <w:rPr>
                <w:b/>
                <w:sz w:val="20"/>
                <w:szCs w:val="20"/>
              </w:rPr>
            </w:pPr>
            <w:r>
              <w:rPr>
                <w:b/>
                <w:sz w:val="20"/>
                <w:szCs w:val="20"/>
              </w:rPr>
              <w:t>Genotype and relevant features</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8A7EF" w14:textId="77777777" w:rsidR="00F90696" w:rsidRDefault="00F90696" w:rsidP="00EF37ED">
            <w:pPr>
              <w:jc w:val="both"/>
              <w:rPr>
                <w:b/>
                <w:sz w:val="20"/>
                <w:szCs w:val="20"/>
              </w:rPr>
            </w:pPr>
            <w:r>
              <w:rPr>
                <w:b/>
                <w:sz w:val="20"/>
                <w:szCs w:val="20"/>
              </w:rPr>
              <w:t>Reference</w:t>
            </w:r>
          </w:p>
        </w:tc>
      </w:tr>
      <w:tr w:rsidR="00F90696" w14:paraId="7A9D3323" w14:textId="77777777" w:rsidTr="00EF37ED">
        <w:trPr>
          <w:trHeight w:val="32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BC0A8" w14:textId="77777777" w:rsidR="00F90696" w:rsidRDefault="00F90696" w:rsidP="00EF37ED">
            <w:pPr>
              <w:jc w:val="both"/>
              <w:rPr>
                <w:sz w:val="20"/>
                <w:szCs w:val="20"/>
              </w:rPr>
            </w:pPr>
            <w:r>
              <w:rPr>
                <w:sz w:val="20"/>
                <w:szCs w:val="20"/>
              </w:rPr>
              <w:t>MC4100</w:t>
            </w:r>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AF566" w14:textId="77777777" w:rsidR="00F90696" w:rsidRDefault="00F90696" w:rsidP="00EF37ED">
            <w:pPr>
              <w:jc w:val="both"/>
              <w:rPr>
                <w:sz w:val="20"/>
                <w:szCs w:val="20"/>
              </w:rPr>
            </w:pPr>
            <w:r>
              <w:rPr>
                <w:sz w:val="20"/>
                <w:szCs w:val="20"/>
              </w:rPr>
              <w:t>F</w:t>
            </w:r>
            <w:r>
              <w:rPr>
                <w:rFonts w:ascii="Arial Unicode MS" w:eastAsia="Arial Unicode MS" w:hAnsi="Arial Unicode MS" w:cs="Arial Unicode MS"/>
                <w:sz w:val="20"/>
                <w:szCs w:val="20"/>
                <w:vertAlign w:val="superscript"/>
              </w:rPr>
              <w:t>−</w:t>
            </w:r>
            <w:r>
              <w:rPr>
                <w:sz w:val="20"/>
                <w:szCs w:val="20"/>
              </w:rPr>
              <w:t xml:space="preserve"> </w:t>
            </w:r>
            <w:r>
              <w:rPr>
                <w:i/>
                <w:sz w:val="20"/>
                <w:szCs w:val="20"/>
              </w:rPr>
              <w:t>araD139</w:t>
            </w:r>
            <w:r>
              <w:rPr>
                <w:sz w:val="20"/>
                <w:szCs w:val="20"/>
              </w:rPr>
              <w:t xml:space="preserve"> </w:t>
            </w:r>
            <w:r>
              <w:rPr>
                <w:rFonts w:ascii="Noto Sans Symbols" w:eastAsia="Noto Sans Symbols" w:hAnsi="Noto Sans Symbols" w:cs="Noto Sans Symbols"/>
                <w:sz w:val="20"/>
                <w:szCs w:val="20"/>
              </w:rPr>
              <w:t>Δ</w:t>
            </w:r>
            <w:r>
              <w:rPr>
                <w:i/>
                <w:sz w:val="20"/>
                <w:szCs w:val="20"/>
              </w:rPr>
              <w:t>(</w:t>
            </w:r>
            <w:proofErr w:type="spellStart"/>
            <w:r>
              <w:rPr>
                <w:i/>
                <w:sz w:val="20"/>
                <w:szCs w:val="20"/>
              </w:rPr>
              <w:t>argF</w:t>
            </w:r>
            <w:proofErr w:type="spellEnd"/>
            <w:r>
              <w:rPr>
                <w:i/>
                <w:sz w:val="20"/>
                <w:szCs w:val="20"/>
              </w:rPr>
              <w:t>-</w:t>
            </w:r>
            <w:proofErr w:type="gramStart"/>
            <w:r>
              <w:rPr>
                <w:i/>
                <w:sz w:val="20"/>
                <w:szCs w:val="20"/>
              </w:rPr>
              <w:t>lac)U</w:t>
            </w:r>
            <w:proofErr w:type="gramEnd"/>
            <w:r>
              <w:rPr>
                <w:i/>
                <w:sz w:val="20"/>
                <w:szCs w:val="20"/>
              </w:rPr>
              <w:t xml:space="preserve">169 rpsL150 relA1 flbB5301 deoC1 ptsF25 </w:t>
            </w:r>
            <w:proofErr w:type="spellStart"/>
            <w:r>
              <w:rPr>
                <w:i/>
                <w:sz w:val="20"/>
                <w:szCs w:val="20"/>
              </w:rPr>
              <w:t>rbsR</w:t>
            </w:r>
            <w:proofErr w:type="spellEnd"/>
            <w:r>
              <w:rPr>
                <w:i/>
                <w:sz w:val="20"/>
                <w:szCs w:val="20"/>
              </w:rPr>
              <w:t xml:space="preserve"> </w:t>
            </w:r>
            <w:proofErr w:type="spellStart"/>
            <w:r>
              <w:rPr>
                <w:i/>
                <w:sz w:val="20"/>
                <w:szCs w:val="20"/>
              </w:rPr>
              <w:t>thi</w:t>
            </w:r>
            <w:proofErr w:type="spellEnd"/>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53A60" w14:textId="77777777" w:rsidR="00F90696" w:rsidRDefault="00F90696" w:rsidP="00EF37ED">
            <w:pPr>
              <w:tabs>
                <w:tab w:val="left" w:pos="4032"/>
              </w:tabs>
              <w:ind w:right="-108"/>
              <w:jc w:val="both"/>
              <w:rPr>
                <w:sz w:val="20"/>
                <w:szCs w:val="20"/>
              </w:rPr>
            </w:pPr>
            <w:r>
              <w:rPr>
                <w:sz w:val="20"/>
                <w:szCs w:val="20"/>
              </w:rPr>
              <w:fldChar w:fldCharType="begin"/>
            </w:r>
            <w:r>
              <w:rPr>
                <w:sz w:val="20"/>
                <w:szCs w:val="20"/>
              </w:rPr>
              <w:instrText xml:space="preserve"> ADDIN ZOTERO_ITEM CSL_CITATION {"citationID":"am6k89pfk5","properties":{"formattedCitation":"(Casadaban, 1976)","plainCitation":"(Casadaban, 1976)","noteIndex":0},"citationItems":[{"id":759,"uris":["http://zotero.org/users/1784527/items/DWPJKU3X"],"uri":["http://zotero.org/users/1784527/items/DWPJKU3X"],"itemData":{"id":759,"type":"article-journal","title":"Regulation of the regulatory gene for the arabinose pathway, araC.","container-title":"Journal of molecular biology","page":"557-66","volume":"104","issue":"3","author":[{"family":"Casadaban","given":"M J"}],"issued":{"date-parts":[["1976",7]]}}}],"schema":"https://github.com/citation-style-language/schema/raw/master/csl-citation.json"} </w:instrText>
            </w:r>
            <w:r>
              <w:rPr>
                <w:sz w:val="20"/>
                <w:szCs w:val="20"/>
              </w:rPr>
              <w:fldChar w:fldCharType="separate"/>
            </w:r>
            <w:r w:rsidRPr="003E5256">
              <w:rPr>
                <w:sz w:val="20"/>
                <w:szCs w:val="24"/>
              </w:rPr>
              <w:t>(</w:t>
            </w:r>
            <w:proofErr w:type="spellStart"/>
            <w:r w:rsidRPr="003E5256">
              <w:rPr>
                <w:sz w:val="20"/>
                <w:szCs w:val="24"/>
              </w:rPr>
              <w:t>Casadaban</w:t>
            </w:r>
            <w:proofErr w:type="spellEnd"/>
            <w:r w:rsidRPr="003E5256">
              <w:rPr>
                <w:sz w:val="20"/>
                <w:szCs w:val="24"/>
              </w:rPr>
              <w:t>, 1976)</w:t>
            </w:r>
            <w:r>
              <w:rPr>
                <w:sz w:val="20"/>
                <w:szCs w:val="20"/>
              </w:rPr>
              <w:fldChar w:fldCharType="end"/>
            </w:r>
          </w:p>
        </w:tc>
      </w:tr>
      <w:tr w:rsidR="00F90696" w14:paraId="0551E182" w14:textId="77777777" w:rsidTr="00EF37ED">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FC3BE" w14:textId="77777777" w:rsidR="00F90696" w:rsidRDefault="00F90696" w:rsidP="00EF37ED">
            <w:pPr>
              <w:jc w:val="both"/>
              <w:rPr>
                <w:sz w:val="20"/>
                <w:szCs w:val="20"/>
              </w:rPr>
            </w:pPr>
            <w:r>
              <w:rPr>
                <w:sz w:val="20"/>
                <w:szCs w:val="20"/>
              </w:rPr>
              <w:t>NR698</w:t>
            </w:r>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554E0" w14:textId="77777777" w:rsidR="00F90696" w:rsidRDefault="00F90696" w:rsidP="00EF37ED">
            <w:pPr>
              <w:jc w:val="both"/>
              <w:rPr>
                <w:i/>
                <w:sz w:val="20"/>
                <w:szCs w:val="20"/>
              </w:rPr>
            </w:pPr>
            <w:r>
              <w:rPr>
                <w:sz w:val="20"/>
                <w:szCs w:val="20"/>
              </w:rPr>
              <w:t xml:space="preserve">MC4100 </w:t>
            </w:r>
            <w:r>
              <w:rPr>
                <w:i/>
                <w:sz w:val="20"/>
                <w:szCs w:val="20"/>
              </w:rPr>
              <w:t>lptD4213 (</w:t>
            </w:r>
            <w:r>
              <w:rPr>
                <w:rFonts w:ascii="Noto Sans Symbols" w:eastAsia="Noto Sans Symbols" w:hAnsi="Noto Sans Symbols" w:cs="Noto Sans Symbols"/>
                <w:sz w:val="20"/>
                <w:szCs w:val="20"/>
              </w:rPr>
              <w:t>Δ</w:t>
            </w:r>
            <w:r>
              <w:rPr>
                <w:sz w:val="20"/>
                <w:szCs w:val="20"/>
              </w:rPr>
              <w:t>330-352)</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5CACC" w14:textId="77777777" w:rsidR="00F90696" w:rsidRDefault="00F90696" w:rsidP="00EF37ED">
            <w:pPr>
              <w:jc w:val="both"/>
              <w:rPr>
                <w:sz w:val="20"/>
                <w:szCs w:val="20"/>
              </w:rPr>
            </w:pPr>
            <w:r>
              <w:rPr>
                <w:sz w:val="20"/>
                <w:szCs w:val="20"/>
              </w:rPr>
              <w:t>(Wu et al., 2005)</w:t>
            </w:r>
          </w:p>
        </w:tc>
      </w:tr>
      <w:tr w:rsidR="00F90696" w14:paraId="23D5CA65" w14:textId="77777777" w:rsidTr="00EF37ED">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4F332" w14:textId="77777777" w:rsidR="00F90696" w:rsidRDefault="00F90696" w:rsidP="00EF37ED">
            <w:pPr>
              <w:jc w:val="both"/>
              <w:rPr>
                <w:sz w:val="20"/>
                <w:szCs w:val="20"/>
              </w:rPr>
            </w:pPr>
            <w:r>
              <w:rPr>
                <w:sz w:val="20"/>
                <w:szCs w:val="20"/>
              </w:rPr>
              <w:t>NR1134</w:t>
            </w:r>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29D21" w14:textId="77777777" w:rsidR="00F90696" w:rsidRDefault="00F90696" w:rsidP="00EF37ED">
            <w:pPr>
              <w:pBdr>
                <w:top w:val="nil"/>
                <w:left w:val="nil"/>
                <w:bottom w:val="nil"/>
                <w:right w:val="nil"/>
                <w:between w:val="nil"/>
              </w:pBdr>
              <w:spacing w:line="240" w:lineRule="auto"/>
              <w:jc w:val="both"/>
              <w:rPr>
                <w:color w:val="000000"/>
                <w:sz w:val="20"/>
                <w:szCs w:val="20"/>
              </w:rPr>
            </w:pPr>
            <w:r>
              <w:rPr>
                <w:color w:val="000000"/>
                <w:sz w:val="20"/>
                <w:szCs w:val="20"/>
              </w:rPr>
              <w:t xml:space="preserve">NR754 </w:t>
            </w:r>
            <w:proofErr w:type="spellStart"/>
            <w:r>
              <w:rPr>
                <w:rFonts w:ascii="Noto Sans Symbols" w:eastAsia="Noto Sans Symbols" w:hAnsi="Noto Sans Symbols" w:cs="Noto Sans Symbols"/>
                <w:color w:val="000000"/>
                <w:sz w:val="20"/>
                <w:szCs w:val="20"/>
              </w:rPr>
              <w:t>Δ</w:t>
            </w:r>
            <w:proofErr w:type="gramStart"/>
            <w:r>
              <w:rPr>
                <w:i/>
                <w:color w:val="000000"/>
                <w:sz w:val="20"/>
                <w:szCs w:val="20"/>
              </w:rPr>
              <w:t>lptD</w:t>
            </w:r>
            <w:proofErr w:type="spellEnd"/>
            <w:r>
              <w:rPr>
                <w:i/>
                <w:color w:val="000000"/>
                <w:sz w:val="20"/>
                <w:szCs w:val="20"/>
              </w:rPr>
              <w:t>::</w:t>
            </w:r>
            <w:proofErr w:type="spellStart"/>
            <w:proofErr w:type="gramEnd"/>
            <w:r>
              <w:rPr>
                <w:i/>
                <w:color w:val="000000"/>
                <w:sz w:val="20"/>
                <w:szCs w:val="20"/>
              </w:rPr>
              <w:t>kan</w:t>
            </w:r>
            <w:proofErr w:type="spellEnd"/>
            <w:r>
              <w:rPr>
                <w:color w:val="000000"/>
                <w:sz w:val="20"/>
                <w:szCs w:val="20"/>
              </w:rPr>
              <w:t xml:space="preserve"> pACYC184::</w:t>
            </w:r>
            <w:proofErr w:type="spellStart"/>
            <w:r>
              <w:rPr>
                <w:i/>
                <w:color w:val="000000"/>
                <w:sz w:val="20"/>
                <w:szCs w:val="20"/>
              </w:rPr>
              <w:t>lptD</w:t>
            </w:r>
            <w:proofErr w:type="spellEnd"/>
            <w:r>
              <w:rPr>
                <w:color w:val="000000"/>
                <w:sz w:val="20"/>
                <w:szCs w:val="20"/>
              </w:rPr>
              <w:t xml:space="preserve"> (</w:t>
            </w:r>
            <w:proofErr w:type="spellStart"/>
            <w:r>
              <w:rPr>
                <w:i/>
                <w:color w:val="000000"/>
                <w:sz w:val="20"/>
                <w:szCs w:val="20"/>
              </w:rPr>
              <w:t>lptD</w:t>
            </w:r>
            <w:proofErr w:type="spellEnd"/>
            <w:r>
              <w:rPr>
                <w:color w:val="000000"/>
                <w:sz w:val="20"/>
                <w:szCs w:val="20"/>
              </w:rPr>
              <w:t xml:space="preserve"> depletion strain) </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2DE44" w14:textId="77777777" w:rsidR="00F90696" w:rsidRPr="00EF2A07" w:rsidRDefault="00F90696" w:rsidP="00EF37ED">
            <w:pPr>
              <w:jc w:val="both"/>
              <w:rPr>
                <w:sz w:val="20"/>
                <w:szCs w:val="20"/>
              </w:rPr>
            </w:pPr>
            <w:r w:rsidRPr="006B5ED6">
              <w:rPr>
                <w:sz w:val="20"/>
                <w:szCs w:val="20"/>
              </w:rPr>
              <w:t>(Lee et al., 2018)</w:t>
            </w:r>
          </w:p>
        </w:tc>
      </w:tr>
      <w:tr w:rsidR="00F90696" w14:paraId="29739B7C" w14:textId="77777777" w:rsidTr="00EF37ED">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2498D" w14:textId="77777777" w:rsidR="00F90696" w:rsidRDefault="00F90696" w:rsidP="00EF37ED">
            <w:pPr>
              <w:jc w:val="both"/>
              <w:rPr>
                <w:sz w:val="20"/>
                <w:szCs w:val="20"/>
              </w:rPr>
            </w:pPr>
            <w:r>
              <w:rPr>
                <w:sz w:val="20"/>
                <w:szCs w:val="20"/>
              </w:rPr>
              <w:t>JCM166</w:t>
            </w:r>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C7D4A" w14:textId="77777777" w:rsidR="00F90696" w:rsidRDefault="00F90696" w:rsidP="00EF37ED">
            <w:pPr>
              <w:jc w:val="both"/>
              <w:rPr>
                <w:sz w:val="20"/>
                <w:szCs w:val="20"/>
                <w:highlight w:val="white"/>
              </w:rPr>
            </w:pPr>
            <w:r>
              <w:rPr>
                <w:sz w:val="20"/>
                <w:szCs w:val="20"/>
                <w:highlight w:val="white"/>
              </w:rPr>
              <w:t xml:space="preserve">MC4100 </w:t>
            </w:r>
            <w:proofErr w:type="spellStart"/>
            <w:r>
              <w:rPr>
                <w:i/>
                <w:sz w:val="20"/>
                <w:szCs w:val="20"/>
                <w:highlight w:val="white"/>
              </w:rPr>
              <w:t>ara</w:t>
            </w:r>
            <w:r>
              <w:rPr>
                <w:i/>
                <w:sz w:val="20"/>
                <w:szCs w:val="20"/>
                <w:highlight w:val="white"/>
                <w:vertAlign w:val="superscript"/>
              </w:rPr>
              <w:t>r</w:t>
            </w:r>
            <w:proofErr w:type="spellEnd"/>
            <w:r>
              <w:rPr>
                <w:i/>
                <w:sz w:val="20"/>
                <w:szCs w:val="20"/>
                <w:highlight w:val="white"/>
                <w:vertAlign w:val="superscript"/>
              </w:rPr>
              <w:t>/-</w:t>
            </w:r>
            <w:r>
              <w:rPr>
                <w:sz w:val="20"/>
                <w:szCs w:val="20"/>
                <w:highlight w:val="white"/>
              </w:rPr>
              <w:t xml:space="preserve"> </w:t>
            </w:r>
            <w:proofErr w:type="gramStart"/>
            <w:r>
              <w:rPr>
                <w:rFonts w:ascii="Noto Sans Symbols" w:eastAsia="Noto Sans Symbols" w:hAnsi="Noto Sans Symbols" w:cs="Noto Sans Symbols"/>
                <w:sz w:val="20"/>
                <w:szCs w:val="20"/>
              </w:rPr>
              <w:t>Δ</w:t>
            </w:r>
            <w:r>
              <w:rPr>
                <w:sz w:val="20"/>
                <w:szCs w:val="20"/>
                <w:highlight w:val="white"/>
              </w:rPr>
              <w:t>(</w:t>
            </w:r>
            <w:proofErr w:type="spellStart"/>
            <w:proofErr w:type="gramEnd"/>
            <w:r>
              <w:rPr>
                <w:i/>
                <w:sz w:val="20"/>
                <w:szCs w:val="20"/>
                <w:highlight w:val="white"/>
              </w:rPr>
              <w:t>λatt-lom</w:t>
            </w:r>
            <w:proofErr w:type="spellEnd"/>
            <w:r>
              <w:rPr>
                <w:sz w:val="20"/>
                <w:szCs w:val="20"/>
                <w:highlight w:val="white"/>
              </w:rPr>
              <w:t>)::</w:t>
            </w:r>
            <w:proofErr w:type="spellStart"/>
            <w:r>
              <w:rPr>
                <w:i/>
                <w:sz w:val="20"/>
                <w:szCs w:val="20"/>
                <w:highlight w:val="white"/>
              </w:rPr>
              <w:t>bla</w:t>
            </w:r>
            <w:proofErr w:type="spellEnd"/>
            <w:r>
              <w:rPr>
                <w:sz w:val="20"/>
                <w:szCs w:val="20"/>
                <w:highlight w:val="white"/>
              </w:rPr>
              <w:t xml:space="preserve"> </w:t>
            </w:r>
            <w:proofErr w:type="spellStart"/>
            <w:r>
              <w:rPr>
                <w:sz w:val="20"/>
                <w:szCs w:val="20"/>
                <w:highlight w:val="white"/>
              </w:rPr>
              <w:t>P</w:t>
            </w:r>
            <w:r>
              <w:rPr>
                <w:sz w:val="20"/>
                <w:szCs w:val="20"/>
                <w:highlight w:val="white"/>
                <w:vertAlign w:val="subscript"/>
              </w:rPr>
              <w:t>BAD</w:t>
            </w:r>
            <w:r>
              <w:rPr>
                <w:i/>
                <w:sz w:val="20"/>
                <w:szCs w:val="20"/>
                <w:highlight w:val="white"/>
              </w:rPr>
              <w:t>yaeT</w:t>
            </w:r>
            <w:proofErr w:type="spellEnd"/>
            <w:r>
              <w:rPr>
                <w:i/>
                <w:sz w:val="20"/>
                <w:szCs w:val="20"/>
                <w:highlight w:val="white"/>
              </w:rPr>
              <w:t xml:space="preserve"> </w:t>
            </w:r>
            <w:proofErr w:type="spellStart"/>
            <w:r>
              <w:rPr>
                <w:i/>
                <w:sz w:val="20"/>
                <w:szCs w:val="20"/>
                <w:highlight w:val="white"/>
              </w:rPr>
              <w:t>araC</w:t>
            </w:r>
            <w:proofErr w:type="spellEnd"/>
            <w:r>
              <w:rPr>
                <w:sz w:val="20"/>
                <w:szCs w:val="20"/>
                <w:highlight w:val="white"/>
              </w:rPr>
              <w:t xml:space="preserve"> </w:t>
            </w:r>
            <w:proofErr w:type="spellStart"/>
            <w:r>
              <w:rPr>
                <w:rFonts w:ascii="Noto Sans Symbols" w:eastAsia="Noto Sans Symbols" w:hAnsi="Noto Sans Symbols" w:cs="Noto Sans Symbols"/>
                <w:sz w:val="20"/>
                <w:szCs w:val="20"/>
              </w:rPr>
              <w:t>Δ</w:t>
            </w:r>
            <w:r>
              <w:rPr>
                <w:i/>
                <w:sz w:val="20"/>
                <w:szCs w:val="20"/>
                <w:highlight w:val="white"/>
              </w:rPr>
              <w:t>yaeT</w:t>
            </w:r>
            <w:proofErr w:type="spellEnd"/>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5C44" w14:textId="77777777" w:rsidR="00F90696" w:rsidRDefault="00F90696" w:rsidP="00EF37ED">
            <w:pPr>
              <w:jc w:val="both"/>
              <w:rPr>
                <w:sz w:val="20"/>
                <w:szCs w:val="20"/>
              </w:rPr>
            </w:pPr>
            <w:r>
              <w:rPr>
                <w:sz w:val="20"/>
                <w:szCs w:val="20"/>
              </w:rPr>
              <w:t>(Wu et al., 2005)</w:t>
            </w:r>
          </w:p>
        </w:tc>
      </w:tr>
      <w:tr w:rsidR="00F90696" w14:paraId="4EE8C418" w14:textId="77777777" w:rsidTr="00EF37ED">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A469" w14:textId="77777777" w:rsidR="00F90696" w:rsidRDefault="00F90696" w:rsidP="00EF37ED">
            <w:pPr>
              <w:jc w:val="both"/>
              <w:rPr>
                <w:sz w:val="20"/>
                <w:szCs w:val="20"/>
              </w:rPr>
            </w:pPr>
            <w:r>
              <w:rPr>
                <w:sz w:val="20"/>
                <w:szCs w:val="20"/>
              </w:rPr>
              <w:t>DEK1</w:t>
            </w:r>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02B1C" w14:textId="77777777" w:rsidR="00F90696" w:rsidRDefault="00F90696" w:rsidP="00EF37ED">
            <w:pPr>
              <w:jc w:val="both"/>
              <w:rPr>
                <w:sz w:val="20"/>
                <w:szCs w:val="20"/>
                <w:highlight w:val="white"/>
              </w:rPr>
            </w:pPr>
            <w:r>
              <w:rPr>
                <w:sz w:val="20"/>
                <w:szCs w:val="20"/>
                <w:highlight w:val="white"/>
              </w:rPr>
              <w:t xml:space="preserve">MC4100, </w:t>
            </w:r>
            <w:r>
              <w:rPr>
                <w:i/>
                <w:sz w:val="20"/>
                <w:szCs w:val="20"/>
                <w:highlight w:val="white"/>
              </w:rPr>
              <w:t>bamA</w:t>
            </w:r>
            <w:r>
              <w:rPr>
                <w:sz w:val="20"/>
                <w:szCs w:val="20"/>
                <w:highlight w:val="white"/>
                <w:vertAlign w:val="superscript"/>
              </w:rPr>
              <w:t>E470G</w:t>
            </w:r>
            <w:r>
              <w:rPr>
                <w:sz w:val="20"/>
                <w:szCs w:val="20"/>
                <w:highlight w:val="white"/>
              </w:rPr>
              <w:t xml:space="preserve"> (</w:t>
            </w:r>
            <w:r>
              <w:rPr>
                <w:i/>
                <w:sz w:val="20"/>
                <w:szCs w:val="20"/>
                <w:highlight w:val="white"/>
              </w:rPr>
              <w:t>bamA</w:t>
            </w:r>
            <w:r>
              <w:rPr>
                <w:sz w:val="20"/>
                <w:szCs w:val="20"/>
                <w:highlight w:val="white"/>
                <w:vertAlign w:val="superscript"/>
              </w:rPr>
              <w:t>E470G</w:t>
            </w:r>
            <w:r>
              <w:rPr>
                <w:sz w:val="20"/>
                <w:szCs w:val="20"/>
                <w:highlight w:val="white"/>
              </w:rPr>
              <w:t xml:space="preserve"> haploid strain)</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29847" w14:textId="77777777" w:rsidR="00F90696" w:rsidRDefault="00F90696" w:rsidP="00EF37ED">
            <w:pPr>
              <w:jc w:val="both"/>
              <w:rPr>
                <w:sz w:val="20"/>
                <w:szCs w:val="20"/>
              </w:rPr>
            </w:pPr>
            <w:r>
              <w:rPr>
                <w:sz w:val="20"/>
                <w:szCs w:val="20"/>
              </w:rPr>
              <w:t>This study</w:t>
            </w:r>
          </w:p>
        </w:tc>
      </w:tr>
      <w:tr w:rsidR="00F90696" w14:paraId="61E7242C" w14:textId="77777777" w:rsidTr="00EF37ED">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7A090" w14:textId="77777777" w:rsidR="00F90696" w:rsidRDefault="00F90696" w:rsidP="00EF37ED">
            <w:pPr>
              <w:jc w:val="both"/>
              <w:rPr>
                <w:sz w:val="20"/>
                <w:szCs w:val="20"/>
              </w:rPr>
            </w:pPr>
            <w:r>
              <w:rPr>
                <w:sz w:val="20"/>
                <w:szCs w:val="20"/>
              </w:rPr>
              <w:t xml:space="preserve">DH5α </w:t>
            </w:r>
            <w:proofErr w:type="spellStart"/>
            <w:r>
              <w:rPr>
                <w:sz w:val="20"/>
                <w:szCs w:val="20"/>
              </w:rPr>
              <w:t>λ</w:t>
            </w:r>
            <w:r>
              <w:rPr>
                <w:i/>
                <w:sz w:val="20"/>
                <w:szCs w:val="20"/>
              </w:rPr>
              <w:t>pir</w:t>
            </w:r>
            <w:proofErr w:type="spellEnd"/>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797F7" w14:textId="77777777" w:rsidR="00F90696" w:rsidRDefault="00F90696" w:rsidP="00EF37ED">
            <w:pPr>
              <w:jc w:val="both"/>
              <w:rPr>
                <w:sz w:val="20"/>
                <w:szCs w:val="20"/>
                <w:highlight w:val="white"/>
              </w:rPr>
            </w:pPr>
            <w:r>
              <w:rPr>
                <w:i/>
                <w:sz w:val="20"/>
                <w:szCs w:val="20"/>
                <w:highlight w:val="white"/>
              </w:rPr>
              <w:t xml:space="preserve">supE4 </w:t>
            </w:r>
            <w:r>
              <w:rPr>
                <w:rFonts w:ascii="Noto Sans Symbols" w:eastAsia="Noto Sans Symbols" w:hAnsi="Noto Sans Symbols" w:cs="Noto Sans Symbols"/>
                <w:sz w:val="20"/>
                <w:szCs w:val="20"/>
              </w:rPr>
              <w:t>Δ</w:t>
            </w:r>
            <w:r>
              <w:rPr>
                <w:i/>
                <w:sz w:val="20"/>
                <w:szCs w:val="20"/>
              </w:rPr>
              <w:t>lacU169</w:t>
            </w:r>
            <w:r>
              <w:rPr>
                <w:sz w:val="20"/>
                <w:szCs w:val="20"/>
              </w:rPr>
              <w:t xml:space="preserve"> (</w:t>
            </w:r>
            <w:r>
              <w:rPr>
                <w:rFonts w:ascii="Noto Sans Symbols" w:eastAsia="Noto Sans Symbols" w:hAnsi="Noto Sans Symbols" w:cs="Noto Sans Symbols"/>
                <w:sz w:val="20"/>
                <w:szCs w:val="20"/>
              </w:rPr>
              <w:t>φ</w:t>
            </w:r>
            <w:r>
              <w:rPr>
                <w:sz w:val="20"/>
                <w:szCs w:val="20"/>
              </w:rPr>
              <w:t xml:space="preserve">80 </w:t>
            </w:r>
            <w:r>
              <w:rPr>
                <w:i/>
                <w:sz w:val="20"/>
                <w:szCs w:val="20"/>
              </w:rPr>
              <w:t>lacZ</w:t>
            </w:r>
            <w:r>
              <w:rPr>
                <w:rFonts w:ascii="Noto Sans Symbols" w:eastAsia="Noto Sans Symbols" w:hAnsi="Noto Sans Symbols" w:cs="Noto Sans Symbols"/>
                <w:sz w:val="20"/>
                <w:szCs w:val="20"/>
              </w:rPr>
              <w:t>Δ</w:t>
            </w:r>
            <w:r>
              <w:rPr>
                <w:sz w:val="20"/>
                <w:szCs w:val="20"/>
              </w:rPr>
              <w:t xml:space="preserve">M15) </w:t>
            </w:r>
            <w:r>
              <w:rPr>
                <w:i/>
                <w:sz w:val="20"/>
                <w:szCs w:val="20"/>
              </w:rPr>
              <w:t>hsdR17</w:t>
            </w:r>
            <w:r>
              <w:rPr>
                <w:sz w:val="20"/>
                <w:szCs w:val="20"/>
              </w:rPr>
              <w:t xml:space="preserve"> </w:t>
            </w:r>
            <w:r>
              <w:rPr>
                <w:i/>
                <w:sz w:val="20"/>
                <w:szCs w:val="20"/>
              </w:rPr>
              <w:t>recA1</w:t>
            </w:r>
            <w:r>
              <w:rPr>
                <w:sz w:val="20"/>
                <w:szCs w:val="20"/>
              </w:rPr>
              <w:t xml:space="preserve"> </w:t>
            </w:r>
            <w:r>
              <w:rPr>
                <w:i/>
                <w:sz w:val="20"/>
                <w:szCs w:val="20"/>
              </w:rPr>
              <w:t>endA1</w:t>
            </w:r>
            <w:r>
              <w:rPr>
                <w:sz w:val="20"/>
                <w:szCs w:val="20"/>
              </w:rPr>
              <w:t xml:space="preserve"> </w:t>
            </w:r>
            <w:r>
              <w:rPr>
                <w:i/>
                <w:sz w:val="20"/>
                <w:szCs w:val="20"/>
              </w:rPr>
              <w:t>gyrA96</w:t>
            </w:r>
            <w:r>
              <w:rPr>
                <w:sz w:val="20"/>
                <w:szCs w:val="20"/>
              </w:rPr>
              <w:t xml:space="preserve"> </w:t>
            </w:r>
            <w:r>
              <w:rPr>
                <w:i/>
                <w:sz w:val="20"/>
                <w:szCs w:val="20"/>
              </w:rPr>
              <w:t>thi-1</w:t>
            </w:r>
            <w:r>
              <w:rPr>
                <w:sz w:val="20"/>
                <w:szCs w:val="20"/>
              </w:rPr>
              <w:t xml:space="preserve"> </w:t>
            </w:r>
            <w:r>
              <w:rPr>
                <w:i/>
                <w:sz w:val="20"/>
                <w:szCs w:val="20"/>
              </w:rPr>
              <w:t>relA1</w:t>
            </w:r>
            <w:r>
              <w:rPr>
                <w:sz w:val="20"/>
                <w:szCs w:val="20"/>
              </w:rPr>
              <w:t xml:space="preserve"> </w:t>
            </w:r>
            <w:proofErr w:type="spellStart"/>
            <w:r>
              <w:rPr>
                <w:rFonts w:ascii="Noto Sans Symbols" w:eastAsia="Noto Sans Symbols" w:hAnsi="Noto Sans Symbols" w:cs="Noto Sans Symbols"/>
                <w:sz w:val="20"/>
                <w:szCs w:val="20"/>
              </w:rPr>
              <w:t>λ</w:t>
            </w:r>
            <w:r>
              <w:rPr>
                <w:i/>
                <w:sz w:val="20"/>
                <w:szCs w:val="20"/>
              </w:rPr>
              <w:t>pir</w:t>
            </w:r>
            <w:proofErr w:type="spellEnd"/>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DCEE5" w14:textId="77777777" w:rsidR="00F90696" w:rsidRDefault="00F90696" w:rsidP="00EF37ED">
            <w:pPr>
              <w:jc w:val="both"/>
              <w:rPr>
                <w:sz w:val="20"/>
                <w:szCs w:val="20"/>
              </w:rPr>
            </w:pPr>
            <w:r>
              <w:rPr>
                <w:sz w:val="20"/>
                <w:szCs w:val="20"/>
              </w:rPr>
              <w:fldChar w:fldCharType="begin"/>
            </w:r>
            <w:r>
              <w:rPr>
                <w:sz w:val="20"/>
                <w:szCs w:val="20"/>
              </w:rPr>
              <w:instrText xml:space="preserve"> ADDIN ZOTERO_ITEM CSL_CITATION {"citationID":"a2hshdr1klc","properties":{"formattedCitation":"(Metcalf et al., 1994; Simon et al., 1983)","plainCitation":"(Metcalf et al., 1994; Simon et al., 1983)","noteIndex":0},"citationItems":[{"id":1506,"uris":["http://zotero.org/users/1784527/items/SND7NLBK"],"uri":["http://zotero.org/users/1784527/items/SND7NLBK"],"itemData":{"id":1506,"type":"article-journal","title":"Use of the rep technique for allele replacement to construct new Escherichia coli hosts for maintenance of R6K gamma origin plasmids at different copy numbers","container-title":"Gene","page":"1-7","volume":"138","issue":"1-2","source":"PubMed","abstract":"Escherichia coli hosts were constructed for maintenance of vectors containing the gamma replication origin of the R6K plasmid (oriRR6K gamma) at different copy numbers (15 or 250/cell). Such vectors require the trans-acting II protein (the pir gene product) for replication. New hosts carry pir+ or pir-116 on the chromosome within uidA, the E. coli gene encoding beta-glucuronidase. They were made using the rep technique for allele replacement and KmR M13 delta uid A::pir+ or M13 delta uidA::pir-116 phage. Because M13 cannot replicate in a rep mutant, KmR transductants arose by integration into the chromosomal uidA locus. Segregants lacking M13 sequences (which were selected as deoxycholate-resistant (DocR) ones) frequently contained delta uidA::pir+ or delta uidA::pir-116 on the chromosome. In principle, this procedure could be used for the introduction of any foreign gene into any nonessential gene on the E. coli chromosome. The delta uidA::pir+ and delta uidA::pir-116 loci were subsequently transferred to a variety of E. coli strains. One such strain is a suppressor-negative one that is especially useful for transposon (Tn) mutagenesis. This strain has an integrated RP4 derivative for conjugative transfer of oriRR6K gamma plasmids also containing oriT from RP4. In addition, new oriRR6K gamma, oriT+ vectors carrying the TcR-encoding genes tetAR from Tn10 are described. These can be used for allele replacement by conjugative transfer of an oriRR6K gamma, oriT+, tetAR plasmid containing a mutated gene into a non-pir recipient and by subsequent selection for Tc-sensitive exconjugants.","ISSN":"0378-1119","note":"PMID: 8125283","journalAbbreviation":"Gene","language":"eng","author":[{"family":"Metcalf","given":"W. W."},{"family":"Jiang","given":"W."},{"family":"Wanner","given":"B. L."}],"issued":{"date-parts":[["1994",1,28]]}}},{"id":1503,"uris":["http://zotero.org/users/1784527/items/HERTI3GW"],"uri":["http://zotero.org/users/1784527/items/HERTI3GW"],"itemData":{"id":1503,"type":"article-journal","title":"A Broad Host Range Mobilization System for In Vivo Genetic Engineering: Transposon Mutagenesis in Gram Negative Bacteria","container-title":"Bio/Technology","page":"784","volume":"1","issue":"9","source":"www.nature.com","abstract":"We have developed a new vector strategy for the insertion of foreign genes into the genomes of gram negative bacteria not closely related to Escherichia coli. The system consists of two components: special E. coli donor strains and derivatives of E. coli vector plasmids. The donor strains (called mobilizing strains) carry the transfer genes of the broad host range IncP–type plasmid RP4 integrated in their chromosomes. They can utilize any gram negative bacterium as a recipient for conjugative DNA transfer. The vector plasmids contain the P–type specific recognition site for mobilization (Mob site) and can be mobilized with high frequency from the donor strains. The mobilizable vectors are derived from the commonly used E. coli vectors pACYC184, pACYC177, and pBR325, and are unable to replicate in strains outside the enteric bacterial group. Therefore, they are widely applicable as transposon carrier replicons for random transposon insertion mutagenesis in any strain into which they can be mobilized but not stably maintained. The vectors are especially useful for site–directed transposon mutagenesis and for site–specific gene transfer in a wide variety of gram negative organisms.","DOI":"10.1038/nbt1183-784","ISSN":"1546-1696","title-short":"A Broad Host Range Mobilization System for In Vivo Genetic Engineering","language":"En","author":[{"family":"Simon","given":"R."},{"family":"Priefer","given":"U."},{"family":"Pühler","given":"A."}],"issued":{"date-parts":[["1983",11]]}}}],"schema":"https://github.com/citation-style-language/schema/raw/master/csl-citation.json"} </w:instrText>
            </w:r>
            <w:r>
              <w:rPr>
                <w:sz w:val="20"/>
                <w:szCs w:val="20"/>
              </w:rPr>
              <w:fldChar w:fldCharType="separate"/>
            </w:r>
            <w:r>
              <w:rPr>
                <w:sz w:val="20"/>
                <w:szCs w:val="24"/>
              </w:rPr>
              <w:t>(Metcalf et al., 1994; Simon et al., 1983)</w:t>
            </w:r>
            <w:r>
              <w:rPr>
                <w:sz w:val="20"/>
                <w:szCs w:val="20"/>
              </w:rPr>
              <w:fldChar w:fldCharType="end"/>
            </w:r>
          </w:p>
        </w:tc>
      </w:tr>
    </w:tbl>
    <w:p w14:paraId="589AEEE3" w14:textId="77777777" w:rsidR="0055001B" w:rsidRDefault="00F90696"/>
    <w:sectPr w:rsidR="00550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96"/>
    <w:rsid w:val="000F1030"/>
    <w:rsid w:val="00A4458B"/>
    <w:rsid w:val="00A7799C"/>
    <w:rsid w:val="00F90696"/>
    <w:rsid w:val="00FF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C1AA"/>
  <w15:chartTrackingRefBased/>
  <w15:docId w15:val="{481B54A1-B67C-4540-A353-DA5A2981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0696"/>
    <w:pPr>
      <w:spacing w:after="0" w:line="276" w:lineRule="auto"/>
    </w:pPr>
    <w:rPr>
      <w:rFonts w:ascii="Arial" w:eastAsia="Arial" w:hAnsi="Arial" w:cs="Arial"/>
      <w:kern w:val="0"/>
      <w:lang w:val="en" w:eastAsia="zh-T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2019-11-07T14:22:00Z</dcterms:created>
  <dcterms:modified xsi:type="dcterms:W3CDTF">2019-11-07T14:33:00Z</dcterms:modified>
</cp:coreProperties>
</file>