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8C" w:rsidRPr="00003518" w:rsidRDefault="000C3F8C" w:rsidP="000C3F8C">
      <w:pPr>
        <w:pStyle w:val="SMcaption"/>
        <w:spacing w:line="360" w:lineRule="auto"/>
        <w:jc w:val="both"/>
        <w:rPr>
          <w:b/>
          <w:szCs w:val="21"/>
          <w:lang w:val="en-GB"/>
        </w:rPr>
      </w:pPr>
      <w:r w:rsidRPr="00003518">
        <w:rPr>
          <w:b/>
          <w:szCs w:val="21"/>
          <w:lang w:val="en-GB"/>
        </w:rPr>
        <w:t xml:space="preserve">Figure 6—source data 1. </w:t>
      </w:r>
      <w:bookmarkStart w:id="0" w:name="_Hlk14097820"/>
      <w:r w:rsidRPr="00003518">
        <w:rPr>
          <w:b/>
          <w:szCs w:val="21"/>
          <w:lang w:val="en-GB"/>
        </w:rPr>
        <w:t>Functional and ligand binding properties of A</w:t>
      </w:r>
      <w:r w:rsidRPr="00003518">
        <w:rPr>
          <w:b/>
          <w:szCs w:val="21"/>
          <w:vertAlign w:val="subscript"/>
          <w:lang w:val="en-GB"/>
        </w:rPr>
        <w:t>2A</w:t>
      </w:r>
      <w:r w:rsidRPr="00003518">
        <w:rPr>
          <w:b/>
          <w:szCs w:val="21"/>
          <w:lang w:val="en-GB"/>
        </w:rPr>
        <w:t>R mutations.</w:t>
      </w:r>
      <w:bookmarkEnd w:id="0"/>
    </w:p>
    <w:tbl>
      <w:tblPr>
        <w:tblStyle w:val="TableGrid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992"/>
        <w:gridCol w:w="1263"/>
        <w:gridCol w:w="1516"/>
        <w:gridCol w:w="1545"/>
        <w:gridCol w:w="1350"/>
        <w:gridCol w:w="2127"/>
      </w:tblGrid>
      <w:tr w:rsidR="000C3F8C" w:rsidRPr="00003518" w:rsidTr="0053631F">
        <w:trPr>
          <w:trHeight w:val="443"/>
          <w:jc w:val="center"/>
        </w:trPr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Layer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Position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Mutation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Expression</w:t>
            </w:r>
          </w:p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(% WT)</w:t>
            </w:r>
          </w:p>
        </w:tc>
        <w:tc>
          <w:tcPr>
            <w:tcW w:w="1516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Binding assay</w:t>
            </w:r>
          </w:p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IC</w:t>
            </w:r>
            <w:r w:rsidRPr="00003518">
              <w:rPr>
                <w:rFonts w:eastAsia="DengXian"/>
                <w:color w:val="000000"/>
                <w:sz w:val="21"/>
                <w:szCs w:val="14"/>
                <w:vertAlign w:val="subscript"/>
              </w:rPr>
              <w:t>50</w:t>
            </w:r>
            <w:r w:rsidRPr="00003518">
              <w:rPr>
                <w:rFonts w:eastAsia="DengXian"/>
                <w:color w:val="000000"/>
                <w:sz w:val="21"/>
                <w:szCs w:val="14"/>
              </w:rPr>
              <w:t xml:space="preserve"> (</w:t>
            </w:r>
            <w:proofErr w:type="spellStart"/>
            <w:r w:rsidRPr="00003518">
              <w:rPr>
                <w:rFonts w:eastAsia="DengXian"/>
                <w:color w:val="000000"/>
                <w:sz w:val="21"/>
                <w:szCs w:val="14"/>
              </w:rPr>
              <w:t>nM</w:t>
            </w:r>
            <w:proofErr w:type="spellEnd"/>
            <w:r w:rsidRPr="00003518">
              <w:rPr>
                <w:rFonts w:eastAsia="DengXian"/>
                <w:color w:val="000000"/>
                <w:sz w:val="21"/>
                <w:szCs w:val="14"/>
              </w:rPr>
              <w:t>)</w:t>
            </w:r>
          </w:p>
        </w:tc>
        <w:tc>
          <w:tcPr>
            <w:tcW w:w="502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Function assay (cAMP accumulation)</w:t>
            </w:r>
          </w:p>
        </w:tc>
      </w:tr>
      <w:tr w:rsidR="000C3F8C" w:rsidRPr="00003518" w:rsidTr="0053631F">
        <w:trPr>
          <w:trHeight w:val="638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</w:p>
        </w:tc>
        <w:tc>
          <w:tcPr>
            <w:tcW w:w="1263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</w:p>
        </w:tc>
        <w:tc>
          <w:tcPr>
            <w:tcW w:w="1516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Basal activity</w:t>
            </w:r>
          </w:p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(% WT)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EC</w:t>
            </w:r>
            <w:r w:rsidRPr="00003518">
              <w:rPr>
                <w:rFonts w:eastAsia="DengXian"/>
                <w:color w:val="000000"/>
                <w:sz w:val="21"/>
                <w:szCs w:val="14"/>
                <w:vertAlign w:val="subscript"/>
              </w:rPr>
              <w:t>50</w:t>
            </w:r>
            <w:r w:rsidRPr="00003518">
              <w:rPr>
                <w:rFonts w:eastAsia="DengXian"/>
                <w:color w:val="000000"/>
                <w:sz w:val="21"/>
                <w:szCs w:val="14"/>
              </w:rPr>
              <w:t xml:space="preserve"> (</w:t>
            </w:r>
            <w:proofErr w:type="spellStart"/>
            <w:r w:rsidRPr="00003518">
              <w:rPr>
                <w:rFonts w:eastAsia="DengXian"/>
                <w:color w:val="000000"/>
                <w:sz w:val="21"/>
                <w:szCs w:val="14"/>
              </w:rPr>
              <w:t>nM</w:t>
            </w:r>
            <w:proofErr w:type="spellEnd"/>
            <w:r w:rsidRPr="00003518">
              <w:rPr>
                <w:rFonts w:eastAsia="DengXian"/>
                <w:color w:val="000000"/>
                <w:sz w:val="21"/>
                <w:szCs w:val="14"/>
              </w:rPr>
              <w:t>)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Fold change in</w:t>
            </w:r>
          </w:p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 w:val="21"/>
                <w:szCs w:val="14"/>
              </w:rPr>
            </w:pPr>
            <w:r w:rsidRPr="00003518">
              <w:rPr>
                <w:rFonts w:eastAsia="DengXian"/>
                <w:color w:val="000000"/>
                <w:sz w:val="21"/>
                <w:szCs w:val="14"/>
              </w:rPr>
              <w:t>agonist potency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3119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WT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100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kern w:val="2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318.7 ± 41.2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100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kern w:val="2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78.4 ± 22.5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B050"/>
                <w:szCs w:val="14"/>
              </w:rPr>
              <w:t>CAM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44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F242A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92.0 ± 10.3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120.8 ± 17.8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196.5 ± 38.9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10.4 ± 1.4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  <w:r w:rsidRPr="00003518">
              <w:rPr>
                <w:rFonts w:eastAsia="DengXian"/>
                <w:color w:val="00B050"/>
                <w:szCs w:val="14"/>
              </w:rPr>
              <w:t>7.5-fold increase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I92N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66.7 ± 6.4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43.8 ± 10.5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735.1 ± 131.8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N.D.*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  <w:r w:rsidRPr="00003518">
              <w:rPr>
                <w:rFonts w:eastAsia="DengXian"/>
                <w:color w:val="00B050"/>
                <w:szCs w:val="14"/>
              </w:rPr>
              <w:t>Constitutively active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L95A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96.7 ± 14.2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91.07 ± 53.0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2845.0 ± 738.6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N.D.*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43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L95R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42.3 ± 4.4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230.6 ± 57.1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224.8 ± 44.4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N.D.*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I238Y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43.0 ± 2.1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159.8 ± 33.6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1074.9 ± 81.1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N.D.*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</w:p>
        </w:tc>
      </w:tr>
      <w:tr w:rsidR="000C3F8C" w:rsidRPr="00003518" w:rsidTr="0053631F">
        <w:trPr>
          <w:trHeight w:val="426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D101N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41.7 ± 4.6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147.5 ± 99.4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840.6 ± 280.1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N.D.*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B050"/>
                <w:kern w:val="2"/>
                <w:szCs w:val="14"/>
                <w:lang w:val="en-GB"/>
              </w:rPr>
            </w:pP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B050"/>
                <w:szCs w:val="14"/>
              </w:rPr>
              <w:t>CIM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D52A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46.3 ± 1.7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154.6 ± 49.4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79.7 ± 7.8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N.D.</w:t>
            </w:r>
            <w:r w:rsidRPr="00003518">
              <w:rPr>
                <w:rFonts w:eastAsia="DengXian"/>
                <w:szCs w:val="14"/>
                <w:vertAlign w:val="superscript"/>
              </w:rPr>
              <w:t>†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Completely abolished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40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I92A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90.0 ± 8.6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440.3 ± 240.3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70.7 ± 2.2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593.6 ± 66.4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7.6-fold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44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F242R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95.0 ± 2.7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894.0 ± 214.7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63.1 ± 12.6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29304.3 ± 12950.3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373.6-fold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48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W246A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116.0 ± 12.5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21672.5 ± 5153.4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80.9 ± 9.2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17247.5 ± 3625.9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219.9-fold decrease</w:t>
            </w:r>
          </w:p>
        </w:tc>
      </w:tr>
      <w:tr w:rsidR="000C3F8C" w:rsidRPr="00003518" w:rsidTr="0053631F">
        <w:trPr>
          <w:trHeight w:val="61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N280R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87.7 ± 8.7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700.2 ± 225.7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78.0 ± 9.3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kern w:val="2"/>
                <w:szCs w:val="22"/>
                <w:lang w:val="en-GB"/>
              </w:rPr>
            </w:pPr>
            <w:r w:rsidRPr="00003518">
              <w:rPr>
                <w:rFonts w:eastAsia="DengXian"/>
                <w:szCs w:val="14"/>
              </w:rPr>
              <w:t>N.D.</w:t>
            </w:r>
            <w:r w:rsidRPr="00003518">
              <w:rPr>
                <w:rFonts w:eastAsia="DengXian"/>
                <w:szCs w:val="14"/>
                <w:vertAlign w:val="superscript"/>
              </w:rPr>
              <w:t>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Completely abolished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bookmarkStart w:id="1" w:name="OLE_LINK3"/>
            <w:bookmarkStart w:id="2" w:name="OLE_LINK4"/>
            <w:r w:rsidRPr="00003518">
              <w:rPr>
                <w:rFonts w:eastAsia="DengXian"/>
                <w:szCs w:val="14"/>
              </w:rPr>
              <w:t>L48R</w:t>
            </w:r>
            <w:bookmarkEnd w:id="1"/>
            <w:bookmarkEnd w:id="2"/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63.7 ± 5.0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193.9 ± 50.6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93.3 ± 9.1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kern w:val="2"/>
                <w:szCs w:val="22"/>
                <w:lang w:val="en-GB"/>
              </w:rPr>
            </w:pPr>
            <w:r w:rsidRPr="00003518">
              <w:rPr>
                <w:rFonts w:eastAsia="DengXian"/>
                <w:szCs w:val="14"/>
              </w:rPr>
              <w:t>N.D.</w:t>
            </w:r>
            <w:r w:rsidRPr="00003518">
              <w:rPr>
                <w:rFonts w:eastAsia="DengXian"/>
                <w:szCs w:val="14"/>
                <w:vertAlign w:val="superscript"/>
              </w:rPr>
              <w:t>†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Completely abolished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43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L95F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98.7 ± 22.6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223.1 ± 79.3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93.2 ± 20.0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609.5 ± 42.1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7.8-fold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41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V239Q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58.7 ± 4.9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60.1 ± 5.7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80.4 ± 12.8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515.7 ± 30.7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6.6-fold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49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N284A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116.3 ± 17.0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459.1 ± 136.1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73.6 ± 11.1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kern w:val="2"/>
                <w:szCs w:val="22"/>
                <w:lang w:val="en-GB"/>
              </w:rPr>
            </w:pPr>
            <w:r w:rsidRPr="00003518">
              <w:rPr>
                <w:rFonts w:eastAsia="DengXian"/>
                <w:szCs w:val="14"/>
              </w:rPr>
              <w:t>N.D.</w:t>
            </w:r>
            <w:r w:rsidRPr="00003518">
              <w:rPr>
                <w:rFonts w:eastAsia="DengXian"/>
                <w:szCs w:val="14"/>
                <w:vertAlign w:val="superscript"/>
              </w:rPr>
              <w:t>†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Completely abolished</w:t>
            </w:r>
          </w:p>
        </w:tc>
      </w:tr>
      <w:tr w:rsidR="000C3F8C" w:rsidRPr="00003518" w:rsidTr="0053631F">
        <w:trPr>
          <w:trHeight w:val="675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N284K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124.0 ± 24.6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5007.3 ± 1279.1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69.0 ± 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kern w:val="2"/>
                <w:szCs w:val="22"/>
                <w:lang w:val="en-GB"/>
              </w:rPr>
            </w:pPr>
            <w:r w:rsidRPr="00003518">
              <w:rPr>
                <w:rFonts w:eastAsia="DengXian"/>
                <w:szCs w:val="14"/>
              </w:rPr>
              <w:t>N.D.</w:t>
            </w:r>
            <w:r w:rsidRPr="00003518">
              <w:rPr>
                <w:rFonts w:eastAsia="DengXian"/>
                <w:szCs w:val="14"/>
                <w:vertAlign w:val="superscript"/>
              </w:rPr>
              <w:t>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Completely abolished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I98A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105.3 ± 15.1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818.2 ± 311.8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71.8 ± 4.3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1821.7 ± 513.3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23.2-fold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37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L235A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100.7 ± 11.1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211.3 ± 181.8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71.1 ± 8.5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298.6 ± 95.8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3.8-fold decrease</w:t>
            </w:r>
          </w:p>
        </w:tc>
      </w:tr>
      <w:tr w:rsidR="000C3F8C" w:rsidRPr="00003518" w:rsidTr="0053631F">
        <w:trPr>
          <w:trHeight w:val="394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53</w:t>
            </w:r>
          </w:p>
        </w:tc>
        <w:tc>
          <w:tcPr>
            <w:tcW w:w="992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Y288A</w:t>
            </w:r>
          </w:p>
        </w:tc>
        <w:tc>
          <w:tcPr>
            <w:tcW w:w="1263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63.3 ± 6.2</w:t>
            </w:r>
          </w:p>
        </w:tc>
        <w:tc>
          <w:tcPr>
            <w:tcW w:w="1516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159.7 ± 50.2</w:t>
            </w:r>
          </w:p>
        </w:tc>
        <w:tc>
          <w:tcPr>
            <w:tcW w:w="1545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102.6 ± 12.8</w:t>
            </w:r>
          </w:p>
        </w:tc>
        <w:tc>
          <w:tcPr>
            <w:tcW w:w="1350" w:type="dxa"/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1262.2 ± 188.2</w:t>
            </w:r>
          </w:p>
        </w:tc>
        <w:tc>
          <w:tcPr>
            <w:tcW w:w="2127" w:type="dxa"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16.1-fold decrease</w:t>
            </w:r>
          </w:p>
        </w:tc>
      </w:tr>
      <w:tr w:rsidR="000C3F8C" w:rsidRPr="00003518" w:rsidTr="0053631F">
        <w:trPr>
          <w:trHeight w:val="505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A289F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122.3 ± 13.9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75.6 ± 3.6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76.0 ± 10.0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4706.7 ± 644.1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60.0-fold decrease</w:t>
            </w:r>
          </w:p>
        </w:tc>
      </w:tr>
      <w:tr w:rsidR="000C3F8C" w:rsidRPr="00003518" w:rsidTr="0053631F">
        <w:trPr>
          <w:trHeight w:val="413"/>
          <w:jc w:val="center"/>
        </w:trPr>
        <w:tc>
          <w:tcPr>
            <w:tcW w:w="709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000000"/>
                <w:szCs w:val="14"/>
              </w:rPr>
            </w:pPr>
            <w:r w:rsidRPr="00003518">
              <w:rPr>
                <w:rFonts w:eastAsia="DengXian"/>
                <w:color w:val="000000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</w:t>
            </w:r>
            <w:r w:rsidRPr="00003518">
              <w:rPr>
                <w:rFonts w:eastAsia="DengXian"/>
                <w:szCs w:val="14"/>
              </w:rPr>
              <w:sym w:font="Symbol" w:char="F0B4"/>
            </w:r>
            <w:r w:rsidRPr="00003518">
              <w:rPr>
                <w:rFonts w:eastAsia="DengXian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R102L</w:t>
            </w:r>
          </w:p>
        </w:tc>
        <w:tc>
          <w:tcPr>
            <w:tcW w:w="126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90.3 ± 4.8</w:t>
            </w:r>
          </w:p>
        </w:tc>
        <w:tc>
          <w:tcPr>
            <w:tcW w:w="15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33.9 ± 6.3</w:t>
            </w:r>
          </w:p>
        </w:tc>
        <w:tc>
          <w:tcPr>
            <w:tcW w:w="15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79.95 ± 29.6</w:t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szCs w:val="14"/>
              </w:rPr>
            </w:pPr>
            <w:r w:rsidRPr="00003518">
              <w:rPr>
                <w:rFonts w:eastAsia="DengXian"/>
                <w:szCs w:val="14"/>
              </w:rPr>
              <w:t>789.1 ± 63.2</w:t>
            </w:r>
          </w:p>
        </w:tc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C3F8C" w:rsidRPr="00003518" w:rsidRDefault="000C3F8C" w:rsidP="0053631F">
            <w:pPr>
              <w:spacing w:line="360" w:lineRule="auto"/>
              <w:jc w:val="center"/>
              <w:rPr>
                <w:rFonts w:eastAsia="DengXian"/>
                <w:color w:val="FF8D00"/>
                <w:szCs w:val="14"/>
              </w:rPr>
            </w:pPr>
            <w:r w:rsidRPr="00003518">
              <w:rPr>
                <w:rFonts w:eastAsia="DengXian"/>
                <w:color w:val="FF8D00"/>
                <w:szCs w:val="14"/>
              </w:rPr>
              <w:t>10.1-fold decrease</w:t>
            </w:r>
          </w:p>
        </w:tc>
      </w:tr>
    </w:tbl>
    <w:p w:rsidR="000C3F8C" w:rsidRPr="00003518" w:rsidRDefault="000C3F8C" w:rsidP="000C3F8C">
      <w:pPr>
        <w:spacing w:line="360" w:lineRule="auto"/>
        <w:jc w:val="both"/>
        <w:rPr>
          <w:rFonts w:eastAsia="DengXian"/>
          <w:color w:val="000000"/>
          <w:szCs w:val="14"/>
        </w:rPr>
      </w:pPr>
      <w:r w:rsidRPr="00003518">
        <w:rPr>
          <w:rFonts w:eastAsia="DengXian"/>
          <w:szCs w:val="14"/>
        </w:rPr>
        <w:t>*</w:t>
      </w:r>
      <w:r w:rsidRPr="00003518">
        <w:rPr>
          <w:rFonts w:eastAsia="DengXian"/>
          <w:color w:val="000000"/>
          <w:szCs w:val="14"/>
        </w:rPr>
        <w:t>Basal activity was too high to determine an accurate EC</w:t>
      </w:r>
      <w:r w:rsidRPr="00003518">
        <w:rPr>
          <w:rFonts w:eastAsia="DengXian"/>
          <w:color w:val="000000"/>
          <w:szCs w:val="14"/>
          <w:vertAlign w:val="subscript"/>
        </w:rPr>
        <w:t>50</w:t>
      </w:r>
      <w:r w:rsidRPr="00003518">
        <w:rPr>
          <w:rFonts w:eastAsia="DengXian"/>
          <w:color w:val="000000"/>
          <w:szCs w:val="14"/>
        </w:rPr>
        <w:t xml:space="preserve"> value.</w:t>
      </w:r>
    </w:p>
    <w:p w:rsidR="00C17297" w:rsidRDefault="000C3F8C" w:rsidP="000C3F8C">
      <w:r w:rsidRPr="00003518">
        <w:rPr>
          <w:rFonts w:eastAsia="DengXian"/>
          <w:szCs w:val="14"/>
          <w:vertAlign w:val="superscript"/>
        </w:rPr>
        <w:t>†</w:t>
      </w:r>
      <w:r w:rsidRPr="00003518">
        <w:rPr>
          <w:rFonts w:eastAsia="DengXian"/>
          <w:color w:val="000000"/>
          <w:szCs w:val="14"/>
        </w:rPr>
        <w:t xml:space="preserve">No stimulation of cAMP production was observed with 50 </w:t>
      </w:r>
      <w:proofErr w:type="spellStart"/>
      <w:r w:rsidRPr="00003518">
        <w:rPr>
          <w:rFonts w:eastAsia="DengXian"/>
          <w:color w:val="000000"/>
          <w:szCs w:val="14"/>
        </w:rPr>
        <w:t>μM</w:t>
      </w:r>
      <w:proofErr w:type="spellEnd"/>
      <w:r w:rsidRPr="00003518">
        <w:rPr>
          <w:rFonts w:eastAsia="DengXian"/>
          <w:color w:val="000000"/>
          <w:szCs w:val="14"/>
        </w:rPr>
        <w:t xml:space="preserve"> CGS21680.</w:t>
      </w:r>
      <w:bookmarkStart w:id="3" w:name="_GoBack"/>
      <w:bookmarkEnd w:id="3"/>
    </w:p>
    <w:sectPr w:rsidR="00C1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8C"/>
    <w:rsid w:val="000C3F8C"/>
    <w:rsid w:val="00BD77CE"/>
    <w:rsid w:val="00C1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2E039-5649-4478-A757-CD7E5BE9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8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F8C"/>
    <w:pPr>
      <w:spacing w:after="0" w:line="240" w:lineRule="auto"/>
    </w:pPr>
    <w:rPr>
      <w:rFonts w:ascii="DengXian" w:eastAsia="SimSun" w:hAnsi="DengXian" w:cs="SimSu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caption">
    <w:name w:val="SM caption"/>
    <w:basedOn w:val="Normal"/>
    <w:qFormat/>
    <w:rsid w:val="000C3F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2019-12-19T09:16:00Z</dcterms:created>
  <dcterms:modified xsi:type="dcterms:W3CDTF">2019-12-19T09:19:00Z</dcterms:modified>
</cp:coreProperties>
</file>