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0"/>
        <w:tblpPr w:leftFromText="141" w:rightFromText="141" w:vertAnchor="text" w:horzAnchor="margin" w:tblpY="1304"/>
        <w:tblW w:w="80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Look w:val="04A0" w:firstRow="1" w:lastRow="0" w:firstColumn="1" w:lastColumn="0" w:noHBand="0" w:noVBand="1"/>
      </w:tblPr>
      <w:tblGrid>
        <w:gridCol w:w="1502"/>
        <w:gridCol w:w="2370"/>
        <w:gridCol w:w="2177"/>
        <w:gridCol w:w="1970"/>
      </w:tblGrid>
      <w:tr w:rsidR="00AD3710" w:rsidRPr="00814E67" w14:paraId="72B1DAC5" w14:textId="77777777" w:rsidTr="00AD3710">
        <w:trPr>
          <w:trHeight w:val="256"/>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AFA8F23" w14:textId="77777777" w:rsidR="00AD3710" w:rsidRPr="00814E67" w:rsidRDefault="00AD3710" w:rsidP="00AD3710">
            <w:pPr>
              <w:pStyle w:val="Contenidodelmarco"/>
              <w:pageBreakBefore/>
              <w:jc w:val="center"/>
              <w:rPr>
                <w:rFonts w:cs="Times New Roman"/>
                <w:i/>
                <w:iCs/>
                <w:lang w:val="en-US"/>
              </w:rPr>
            </w:pP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951F5E6" w14:textId="77777777" w:rsidR="00AD3710" w:rsidRPr="00814E67" w:rsidRDefault="00AD3710" w:rsidP="00AD3710">
            <w:pPr>
              <w:pStyle w:val="Contenidodelmarco"/>
              <w:jc w:val="center"/>
              <w:rPr>
                <w:rFonts w:cs="Times New Roman"/>
                <w:b/>
                <w:bCs/>
              </w:rPr>
            </w:pPr>
            <w:r w:rsidRPr="00814E67">
              <w:rPr>
                <w:rStyle w:val="Fuentedeprrafopredeter1"/>
                <w:rFonts w:cs="Times New Roman"/>
                <w:b/>
                <w:bCs/>
                <w:i/>
                <w:iCs/>
              </w:rPr>
              <w:t xml:space="preserve">S. </w:t>
            </w:r>
            <w:proofErr w:type="spellStart"/>
            <w:r w:rsidRPr="00814E67">
              <w:rPr>
                <w:rStyle w:val="Fuentedeprrafopredeter1"/>
                <w:rFonts w:cs="Times New Roman"/>
                <w:b/>
                <w:bCs/>
                <w:i/>
                <w:iCs/>
              </w:rPr>
              <w:t>purpuratus</w:t>
            </w:r>
            <w:proofErr w:type="spellEnd"/>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535DA3" w14:textId="77777777" w:rsidR="00AD3710" w:rsidRPr="00814E67" w:rsidRDefault="00AD3710" w:rsidP="00AD3710">
            <w:pPr>
              <w:pStyle w:val="Contenidodelmarco"/>
              <w:jc w:val="center"/>
              <w:rPr>
                <w:rFonts w:cs="Times New Roman"/>
                <w:b/>
                <w:bCs/>
              </w:rPr>
            </w:pPr>
            <w:r w:rsidRPr="00814E67">
              <w:rPr>
                <w:rStyle w:val="Fuentedeprrafopredeter1"/>
                <w:rFonts w:cs="Times New Roman"/>
                <w:b/>
                <w:bCs/>
                <w:i/>
                <w:iCs/>
              </w:rPr>
              <w:t xml:space="preserve">L. </w:t>
            </w:r>
            <w:proofErr w:type="spellStart"/>
            <w:r w:rsidRPr="00814E67">
              <w:rPr>
                <w:rStyle w:val="Fuentedeprrafopredeter1"/>
                <w:rFonts w:cs="Times New Roman"/>
                <w:b/>
                <w:bCs/>
                <w:i/>
                <w:iCs/>
              </w:rPr>
              <w:t>pictus</w:t>
            </w:r>
            <w:proofErr w:type="spellEnd"/>
            <w:r w:rsidRPr="00814E67">
              <w:rPr>
                <w:rStyle w:val="Fuentedeprrafopredeter1"/>
                <w:rFonts w:cs="Times New Roman"/>
                <w:b/>
                <w:bCs/>
                <w:i/>
                <w:iCs/>
              </w:rPr>
              <w:t xml:space="preserve"> </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13BEAF8" w14:textId="77777777" w:rsidR="00AD3710" w:rsidRPr="00814E67" w:rsidRDefault="00AD3710" w:rsidP="00AD3710">
            <w:pPr>
              <w:pStyle w:val="Contenidodelmarco"/>
              <w:jc w:val="center"/>
              <w:rPr>
                <w:rFonts w:cs="Times New Roman"/>
                <w:b/>
                <w:bCs/>
              </w:rPr>
            </w:pPr>
            <w:r w:rsidRPr="00814E67">
              <w:rPr>
                <w:rStyle w:val="Fuentedeprrafopredeter1"/>
                <w:rFonts w:cs="Times New Roman"/>
                <w:b/>
                <w:bCs/>
                <w:i/>
                <w:iCs/>
              </w:rPr>
              <w:t xml:space="preserve">A. </w:t>
            </w:r>
            <w:proofErr w:type="spellStart"/>
            <w:r w:rsidRPr="00814E67">
              <w:rPr>
                <w:rStyle w:val="Fuentedeprrafopredeter1"/>
                <w:rFonts w:cs="Times New Roman"/>
                <w:b/>
                <w:bCs/>
                <w:i/>
                <w:iCs/>
              </w:rPr>
              <w:t>punctulata</w:t>
            </w:r>
            <w:proofErr w:type="spellEnd"/>
          </w:p>
        </w:tc>
      </w:tr>
      <w:tr w:rsidR="00AD3710" w:rsidRPr="00814E67" w14:paraId="15CAAC63" w14:textId="77777777" w:rsidTr="00AD3710">
        <w:trPr>
          <w:trHeight w:val="234"/>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C22BDFE" w14:textId="77777777" w:rsidR="00AD3710" w:rsidRPr="00814E67" w:rsidRDefault="00AD3710" w:rsidP="00AD3710">
            <w:pPr>
              <w:pStyle w:val="Contenidodelmarco"/>
              <w:jc w:val="center"/>
              <w:rPr>
                <w:rFonts w:cs="Times New Roman"/>
                <w:b/>
                <w:bCs/>
              </w:rPr>
            </w:pPr>
            <m:oMath>
              <m:r>
                <m:rPr>
                  <m:sty m:val="bi"/>
                </m:rPr>
                <w:rPr>
                  <w:rStyle w:val="Fuentedeprrafopredeter1"/>
                  <w:rFonts w:ascii="Cambria Math" w:hAnsi="Cambria Math" w:cs="Times New Roman"/>
                </w:rPr>
                <m:t>N</m:t>
              </m:r>
            </m:oMath>
            <w:r w:rsidRPr="00814E67" w:rsidDel="00917714">
              <w:rPr>
                <w:rStyle w:val="Fuentedeprrafopredeter1"/>
                <w:rFonts w:cs="Times New Roman"/>
                <w:b/>
                <w:bCs/>
                <w:i/>
                <w:iCs/>
              </w:rPr>
              <w:t xml:space="preserve"> </w:t>
            </w:r>
            <w:r w:rsidRPr="00814E67">
              <w:rPr>
                <w:rStyle w:val="Fuentedeprrafopredeter1"/>
                <w:rFonts w:cs="Times New Roman"/>
                <w:b/>
                <w:bCs/>
              </w:rPr>
              <w:t>[per cell]</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BDF730B" w14:textId="77777777" w:rsidR="00AD3710" w:rsidRPr="00814E67" w:rsidRDefault="00AD3710" w:rsidP="00AD3710">
            <w:pPr>
              <w:pStyle w:val="Contenidodelmarco"/>
              <w:jc w:val="center"/>
              <w:rPr>
                <w:rFonts w:cs="Times New Roman"/>
              </w:rPr>
            </w:pPr>
            <w:r w:rsidRPr="00814E67">
              <w:rPr>
                <w:rStyle w:val="Fuentedeprrafopredeter1"/>
                <w:rFonts w:cs="Times New Roman"/>
              </w:rPr>
              <w:t>2.0 x 10</w:t>
            </w:r>
            <w:r w:rsidRPr="00814E67">
              <w:rPr>
                <w:rStyle w:val="Fuentedeprrafopredeter1"/>
                <w:rFonts w:cs="Times New Roman"/>
                <w:vertAlign w:val="superscript"/>
              </w:rPr>
              <w:t xml:space="preserve">4 </w:t>
            </w:r>
            <w:r w:rsidRPr="00814E67">
              <w:rPr>
                <w:rStyle w:val="Fuentedeprrafopredeter1"/>
                <w:rFonts w:cs="Times New Roman"/>
                <w:color w:val="000000" w:themeColor="text1"/>
                <w:vertAlign w:val="superscript"/>
              </w:rPr>
              <w:t>b</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4D488F" w14:textId="77777777" w:rsidR="00AD3710" w:rsidRPr="00814E67" w:rsidRDefault="00AD3710" w:rsidP="00AD3710">
            <w:pPr>
              <w:pStyle w:val="Contenidodelmarco"/>
              <w:jc w:val="center"/>
              <w:rPr>
                <w:rFonts w:cs="Times New Roman"/>
              </w:rPr>
            </w:pPr>
            <w:r w:rsidRPr="00814E67">
              <w:rPr>
                <w:rStyle w:val="Fuentedeprrafopredeter1"/>
                <w:rFonts w:cs="Times New Roman"/>
              </w:rPr>
              <w:t>6.3 x 10</w:t>
            </w:r>
            <w:r w:rsidRPr="00814E67">
              <w:rPr>
                <w:rStyle w:val="Fuentedeprrafopredeter1"/>
                <w:rFonts w:cs="Times New Roman"/>
                <w:vertAlign w:val="superscript"/>
              </w:rPr>
              <w:t xml:space="preserve">4 </w:t>
            </w:r>
            <w:r w:rsidRPr="00814E67">
              <w:rPr>
                <w:rStyle w:val="Fuentedeprrafopredeter1"/>
                <w:rFonts w:cs="Times New Roman"/>
                <w:color w:val="000000" w:themeColor="text1"/>
                <w:vertAlign w:val="superscript"/>
              </w:rPr>
              <w:t>b</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DE56E70" w14:textId="77777777" w:rsidR="00AD3710" w:rsidRPr="00814E67" w:rsidRDefault="00AD3710" w:rsidP="00AD3710">
            <w:pPr>
              <w:pStyle w:val="Contenidodelmarco"/>
              <w:jc w:val="center"/>
              <w:rPr>
                <w:rFonts w:cs="Times New Roman"/>
              </w:rPr>
            </w:pPr>
            <w:r w:rsidRPr="00814E67">
              <w:rPr>
                <w:rStyle w:val="Fuentedeprrafopredeter1"/>
                <w:rFonts w:cs="Times New Roman"/>
              </w:rPr>
              <w:t>3.0 x 10</w:t>
            </w:r>
            <w:r w:rsidRPr="00814E67">
              <w:rPr>
                <w:rStyle w:val="Fuentedeprrafopredeter1"/>
                <w:rFonts w:cs="Times New Roman"/>
                <w:vertAlign w:val="superscript"/>
              </w:rPr>
              <w:t>5 f</w:t>
            </w:r>
          </w:p>
        </w:tc>
      </w:tr>
      <w:tr w:rsidR="00AD3710" w:rsidRPr="00814E67" w14:paraId="368B9031" w14:textId="77777777" w:rsidTr="00AD3710">
        <w:trPr>
          <w:trHeight w:val="164"/>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440272" w14:textId="77777777" w:rsidR="00AD3710" w:rsidRPr="00814E67" w:rsidRDefault="00AD3710" w:rsidP="00AD3710">
            <w:pPr>
              <w:pStyle w:val="Contenidodelmarco"/>
              <w:jc w:val="center"/>
              <w:rPr>
                <w:rFonts w:cs="Times New Roman"/>
                <w:b/>
                <w:bCs/>
              </w:rPr>
            </w:pPr>
            <m:oMathPara>
              <m:oMath>
                <m:sSub>
                  <m:sSubPr>
                    <m:ctrlPr>
                      <w:rPr>
                        <w:rFonts w:ascii="Cambria Math" w:eastAsiaTheme="minorHAnsi" w:hAnsi="Cambria Math" w:cs="Times New Roman"/>
                        <w:b/>
                        <w:bCs/>
                        <w:i/>
                        <w:sz w:val="22"/>
                        <w:szCs w:val="22"/>
                        <w:lang w:val="en-US" w:eastAsia="en-US"/>
                      </w:rPr>
                    </m:ctrlPr>
                  </m:sSubPr>
                  <m:e>
                    <m:r>
                      <m:rPr>
                        <m:sty m:val="bi"/>
                      </m:rPr>
                      <w:rPr>
                        <w:rFonts w:ascii="Cambria Math" w:hAnsi="Cambria Math" w:cs="Times New Roman"/>
                        <w:lang w:val="en-US"/>
                      </w:rPr>
                      <m:t>N</m:t>
                    </m:r>
                  </m:e>
                  <m:sub>
                    <m:r>
                      <m:rPr>
                        <m:sty m:val="bi"/>
                      </m:rPr>
                      <w:rPr>
                        <w:rFonts w:ascii="Cambria Math" w:hAnsi="Cambria Math" w:cs="Times New Roman"/>
                        <w:lang w:val="en-US"/>
                      </w:rPr>
                      <m:t>1/2</m:t>
                    </m:r>
                  </m:sub>
                </m:sSub>
              </m:oMath>
            </m:oMathPara>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B1E96E6" w14:textId="77777777" w:rsidR="00AD3710" w:rsidRPr="00814E67" w:rsidRDefault="00AD3710" w:rsidP="00AD3710">
            <w:pPr>
              <w:pStyle w:val="Contenidodelmarco"/>
              <w:jc w:val="center"/>
              <w:rPr>
                <w:rFonts w:cs="Times New Roman"/>
              </w:rPr>
            </w:pPr>
            <w:r w:rsidRPr="00814E67">
              <w:rPr>
                <w:rFonts w:cs="Times New Roman"/>
                <w:bdr w:val="none" w:sz="0" w:space="0" w:color="auto" w:frame="1"/>
              </w:rPr>
              <w:t>2.9</w:t>
            </w:r>
            <w:r w:rsidRPr="00814E67">
              <w:rPr>
                <w:rStyle w:val="Fuentedeprrafopredeter1"/>
                <w:rFonts w:cs="Times New Roman"/>
              </w:rPr>
              <w:t xml:space="preserve"> x 10</w:t>
            </w:r>
            <w:r w:rsidRPr="00814E67">
              <w:rPr>
                <w:rStyle w:val="Fuentedeprrafopredeter1"/>
                <w:rFonts w:cs="Times New Roman"/>
                <w:vertAlign w:val="superscript"/>
              </w:rPr>
              <w:t>4 c</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F8FB3F7" w14:textId="77777777" w:rsidR="00AD3710" w:rsidRPr="00814E67" w:rsidRDefault="00AD3710" w:rsidP="00AD3710">
            <w:pPr>
              <w:pStyle w:val="Contenidodelmarco"/>
              <w:jc w:val="center"/>
              <w:rPr>
                <w:rFonts w:cs="Times New Roman"/>
              </w:rPr>
            </w:pPr>
            <w:r w:rsidRPr="00814E67">
              <w:rPr>
                <w:rStyle w:val="Fuentedeprrafopredeter1"/>
                <w:rFonts w:cs="Times New Roman"/>
              </w:rPr>
              <w:t>3.6 x 10</w:t>
            </w:r>
            <w:r w:rsidRPr="00814E67">
              <w:rPr>
                <w:rStyle w:val="Fuentedeprrafopredeter1"/>
                <w:rFonts w:cs="Times New Roman"/>
                <w:vertAlign w:val="superscript"/>
              </w:rPr>
              <w:t>4 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6F816B2" w14:textId="77777777" w:rsidR="00AD3710" w:rsidRPr="00814E67" w:rsidRDefault="00AD3710" w:rsidP="00AD3710">
            <w:pPr>
              <w:pStyle w:val="Contenidodelmarco"/>
              <w:jc w:val="center"/>
              <w:rPr>
                <w:rFonts w:cs="Times New Roman"/>
              </w:rPr>
            </w:pPr>
            <w:r w:rsidRPr="00814E67">
              <w:rPr>
                <w:rStyle w:val="Fuentedeprrafopredeter1"/>
                <w:rFonts w:cs="Times New Roman"/>
              </w:rPr>
              <w:t>1.8 x 10</w:t>
            </w:r>
            <w:r w:rsidRPr="00814E67">
              <w:rPr>
                <w:rStyle w:val="Fuentedeprrafopredeter1"/>
                <w:rFonts w:cs="Times New Roman"/>
                <w:vertAlign w:val="superscript"/>
              </w:rPr>
              <w:t>4 c</w:t>
            </w:r>
          </w:p>
        </w:tc>
      </w:tr>
      <w:tr w:rsidR="00AD3710" w:rsidRPr="00814E67" w14:paraId="40D321D6" w14:textId="77777777" w:rsidTr="00AD3710">
        <w:trPr>
          <w:trHeight w:val="62"/>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327865D" w14:textId="77777777" w:rsidR="00AD3710" w:rsidRPr="00814E67" w:rsidRDefault="00AD3710" w:rsidP="00AD3710">
            <w:pPr>
              <w:pStyle w:val="Contenidodelmarco"/>
              <w:jc w:val="center"/>
              <w:rPr>
                <w:rFonts w:cs="Times New Roman"/>
                <w:b/>
                <w:bCs/>
                <w:highlight w:val="yellow"/>
              </w:rPr>
            </w:pPr>
            <m:oMath>
              <m:r>
                <m:rPr>
                  <m:sty m:val="bi"/>
                </m:rPr>
                <w:rPr>
                  <w:rFonts w:ascii="Cambria Math" w:hAnsi="Cambria Math" w:cs="Times New Roman"/>
                </w:rPr>
                <m:t>D</m:t>
              </m:r>
            </m:oMath>
            <w:r w:rsidRPr="00814E67">
              <w:rPr>
                <w:rStyle w:val="Fuentedeprrafopredeter1"/>
                <w:rFonts w:cs="Times New Roman"/>
                <w:b/>
                <w:bCs/>
              </w:rPr>
              <w:t xml:space="preserve"> [cm</w:t>
            </w:r>
            <w:r w:rsidRPr="00814E67">
              <w:rPr>
                <w:rStyle w:val="Fuentedeprrafopredeter1"/>
                <w:rFonts w:cs="Times New Roman"/>
                <w:b/>
                <w:bCs/>
                <w:vertAlign w:val="superscript"/>
              </w:rPr>
              <w:t>2</w:t>
            </w:r>
            <w:r w:rsidRPr="00814E67">
              <w:rPr>
                <w:rStyle w:val="Fuentedeprrafopredeter1"/>
                <w:rFonts w:cs="Times New Roman"/>
                <w:b/>
                <w:bCs/>
              </w:rPr>
              <w:t xml:space="preserve"> s</w:t>
            </w:r>
            <w:r w:rsidRPr="00814E67">
              <w:rPr>
                <w:rStyle w:val="Fuentedeprrafopredeter1"/>
                <w:rFonts w:cs="Times New Roman"/>
                <w:b/>
                <w:bCs/>
                <w:vertAlign w:val="superscript"/>
              </w:rPr>
              <w:t>-1</w:t>
            </w:r>
            <w:r w:rsidRPr="00814E67">
              <w:rPr>
                <w:rStyle w:val="Fuentedeprrafopredeter1"/>
                <w:rFonts w:cs="Times New Roman"/>
                <w:b/>
                <w:bCs/>
              </w:rPr>
              <w:t>]</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E5A5A1A" w14:textId="77777777" w:rsidR="00AD3710" w:rsidRPr="00814E67" w:rsidRDefault="00AD3710" w:rsidP="00AD3710">
            <w:pPr>
              <w:pStyle w:val="Contenidodelmarco"/>
              <w:jc w:val="center"/>
              <w:rPr>
                <w:rFonts w:cs="Times New Roman"/>
              </w:rPr>
            </w:pPr>
            <w:r w:rsidRPr="00814E67">
              <w:rPr>
                <w:rStyle w:val="Fuentedeprrafopredeter1"/>
                <w:rFonts w:cs="Times New Roman"/>
              </w:rPr>
              <w:t>2.4 x 10</w:t>
            </w:r>
            <w:r w:rsidRPr="00814E67">
              <w:rPr>
                <w:rStyle w:val="Fuentedeprrafopredeter1"/>
                <w:rFonts w:cs="Times New Roman"/>
                <w:vertAlign w:val="superscript"/>
              </w:rPr>
              <w:t xml:space="preserve">-6 </w:t>
            </w:r>
            <w:r w:rsidRPr="00814E67">
              <w:rPr>
                <w:rStyle w:val="Fuentedeprrafopredeter1"/>
                <w:rFonts w:cs="Times New Roman"/>
                <w:color w:val="000000" w:themeColor="text1"/>
                <w:vertAlign w:val="superscript"/>
              </w:rPr>
              <w:t>c</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B3F79C1" w14:textId="77777777" w:rsidR="00AD3710" w:rsidRPr="00814E67" w:rsidRDefault="00AD3710" w:rsidP="00AD3710">
            <w:pPr>
              <w:pStyle w:val="Contenidodelmarco"/>
              <w:jc w:val="center"/>
              <w:rPr>
                <w:rFonts w:cs="Times New Roman"/>
              </w:rPr>
            </w:pPr>
            <w:r w:rsidRPr="00814E67">
              <w:rPr>
                <w:rStyle w:val="Fuentedeprrafopredeter1"/>
                <w:rFonts w:cs="Times New Roman"/>
              </w:rPr>
              <w:t>2.4 x 10</w:t>
            </w:r>
            <w:r w:rsidRPr="00814E67">
              <w:rPr>
                <w:rStyle w:val="Fuentedeprrafopredeter1"/>
                <w:rFonts w:cs="Times New Roman"/>
                <w:vertAlign w:val="superscript"/>
              </w:rPr>
              <w:t xml:space="preserve">-6 </w:t>
            </w:r>
            <w:r w:rsidRPr="00814E67">
              <w:rPr>
                <w:rStyle w:val="Fuentedeprrafopredeter1"/>
                <w:rFonts w:cs="Times New Roman"/>
                <w:color w:val="000000" w:themeColor="text1"/>
                <w:vertAlign w:val="superscript"/>
              </w:rPr>
              <w:t>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D2EA094" w14:textId="77777777" w:rsidR="00AD3710" w:rsidRPr="00814E67" w:rsidRDefault="00AD3710" w:rsidP="00AD3710">
            <w:pPr>
              <w:pStyle w:val="Contenidodelmarco"/>
              <w:jc w:val="center"/>
              <w:rPr>
                <w:rFonts w:cs="Times New Roman"/>
              </w:rPr>
            </w:pPr>
            <w:r w:rsidRPr="00814E67">
              <w:rPr>
                <w:rStyle w:val="Fuentedeprrafopredeter1"/>
                <w:rFonts w:cs="Times New Roman"/>
              </w:rPr>
              <w:t>2.4 x 10</w:t>
            </w:r>
            <w:r w:rsidRPr="00814E67">
              <w:rPr>
                <w:rStyle w:val="Fuentedeprrafopredeter1"/>
                <w:rFonts w:cs="Times New Roman"/>
                <w:vertAlign w:val="superscript"/>
              </w:rPr>
              <w:t>-6 e</w:t>
            </w:r>
          </w:p>
        </w:tc>
      </w:tr>
      <w:tr w:rsidR="00AD3710" w:rsidRPr="00814E67" w14:paraId="718553DA" w14:textId="77777777" w:rsidTr="00AD3710">
        <w:trPr>
          <w:trHeight w:val="196"/>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EC5E0EF" w14:textId="77777777" w:rsidR="00AD3710" w:rsidRPr="00814E67" w:rsidRDefault="00AD3710" w:rsidP="00AD3710">
            <w:pPr>
              <w:pStyle w:val="Contenidodelmarco"/>
              <w:jc w:val="center"/>
              <w:rPr>
                <w:rStyle w:val="Fuentedeprrafopredeter1"/>
                <w:rFonts w:cs="Times New Roman"/>
                <w:b/>
                <w:bCs/>
                <w:i/>
                <w:iCs/>
              </w:rPr>
            </w:pPr>
            <w:r w:rsidRPr="00814E67">
              <w:rPr>
                <w:rStyle w:val="Fuentedeprrafopredeter1"/>
                <w:rFonts w:cs="Times New Roman"/>
                <w:b/>
                <w:bCs/>
                <w:i/>
                <w:iCs/>
              </w:rPr>
              <w:t xml:space="preserve">Kon </w:t>
            </w:r>
            <w:r w:rsidRPr="00814E67">
              <w:rPr>
                <w:rStyle w:val="Fuentedeprrafopredeter1"/>
                <w:rFonts w:cs="Times New Roman"/>
                <w:b/>
                <w:bCs/>
              </w:rPr>
              <w:t>[</w:t>
            </w:r>
            <w:r w:rsidRPr="00814E67">
              <w:rPr>
                <w:rFonts w:cs="Times New Roman"/>
                <w:b/>
                <w:bCs/>
                <w:color w:val="000000"/>
                <w:szCs w:val="18"/>
              </w:rPr>
              <w:t>M</w:t>
            </w:r>
            <w:r w:rsidRPr="00814E67">
              <w:rPr>
                <w:rFonts w:cs="Times New Roman"/>
                <w:b/>
                <w:bCs/>
                <w:color w:val="000000"/>
                <w:szCs w:val="18"/>
                <w:vertAlign w:val="superscript"/>
              </w:rPr>
              <w:t>-1</w:t>
            </w:r>
            <w:r w:rsidRPr="00814E67">
              <w:rPr>
                <w:rFonts w:cs="Times New Roman"/>
                <w:b/>
                <w:bCs/>
                <w:color w:val="000000"/>
                <w:szCs w:val="18"/>
              </w:rPr>
              <w:t xml:space="preserve"> s</w:t>
            </w:r>
            <w:r w:rsidRPr="00814E67">
              <w:rPr>
                <w:rFonts w:cs="Times New Roman"/>
                <w:b/>
                <w:bCs/>
                <w:color w:val="000000"/>
                <w:szCs w:val="18"/>
                <w:vertAlign w:val="superscript"/>
              </w:rPr>
              <w:t>-1</w:t>
            </w:r>
            <w:r w:rsidRPr="00814E67">
              <w:rPr>
                <w:rStyle w:val="Fuentedeprrafopredeter1"/>
                <w:rFonts w:cs="Times New Roman"/>
                <w:b/>
                <w:bCs/>
              </w:rPr>
              <w:t>]</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8533AFF" w14:textId="77777777" w:rsidR="00AD3710" w:rsidRPr="00814E67" w:rsidRDefault="00AD3710" w:rsidP="00AD3710">
            <w:pPr>
              <w:pStyle w:val="Contenidodelmarco"/>
              <w:jc w:val="center"/>
              <w:rPr>
                <w:rStyle w:val="Fuentedeprrafopredeter1"/>
                <w:rFonts w:cs="Times New Roman"/>
              </w:rPr>
            </w:pPr>
            <w:r w:rsidRPr="00814E67">
              <w:rPr>
                <w:rStyle w:val="Fuentedeprrafopredeter1"/>
                <w:rFonts w:cs="Times New Roman"/>
              </w:rPr>
              <w:t>2.7 x 10</w:t>
            </w:r>
            <w:r w:rsidRPr="00814E67">
              <w:rPr>
                <w:rStyle w:val="Fuentedeprrafopredeter1"/>
                <w:rFonts w:cs="Times New Roman"/>
                <w:vertAlign w:val="superscript"/>
              </w:rPr>
              <w:t>7 b</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C0AFA03" w14:textId="77777777" w:rsidR="00AD3710" w:rsidRPr="00814E67" w:rsidRDefault="00AD3710" w:rsidP="00AD3710">
            <w:pPr>
              <w:pStyle w:val="Contenidodelmarco"/>
              <w:jc w:val="center"/>
              <w:rPr>
                <w:rStyle w:val="Fuentedeprrafopredeter1"/>
                <w:rFonts w:cs="Times New Roman"/>
              </w:rPr>
            </w:pPr>
            <w:r w:rsidRPr="00814E67">
              <w:rPr>
                <w:rStyle w:val="Fuentedeprrafopredeter1"/>
                <w:rFonts w:cs="Times New Roman"/>
              </w:rPr>
              <w:t>2.4 x 10</w:t>
            </w:r>
            <w:r w:rsidRPr="00814E67">
              <w:rPr>
                <w:rStyle w:val="Fuentedeprrafopredeter1"/>
                <w:rFonts w:cs="Times New Roman"/>
                <w:vertAlign w:val="superscript"/>
              </w:rPr>
              <w:t>7 b</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C2639D4" w14:textId="77777777" w:rsidR="00AD3710" w:rsidRPr="00814E67" w:rsidRDefault="00AD3710" w:rsidP="00AD3710">
            <w:pPr>
              <w:pStyle w:val="Contenidodelmarco"/>
              <w:jc w:val="center"/>
              <w:rPr>
                <w:rStyle w:val="Fuentedeprrafopredeter1"/>
                <w:rFonts w:cs="Times New Roman"/>
              </w:rPr>
            </w:pPr>
            <w:r w:rsidRPr="00814E67">
              <w:rPr>
                <w:rStyle w:val="Fuentedeprrafopredeter1"/>
                <w:rFonts w:cs="Times New Roman"/>
              </w:rPr>
              <w:t>5.0 x 10</w:t>
            </w:r>
            <w:r w:rsidRPr="00814E67">
              <w:rPr>
                <w:rStyle w:val="Fuentedeprrafopredeter1"/>
                <w:rFonts w:cs="Times New Roman"/>
                <w:vertAlign w:val="superscript"/>
              </w:rPr>
              <w:t>7 f</w:t>
            </w:r>
          </w:p>
        </w:tc>
      </w:tr>
      <w:tr w:rsidR="00AD3710" w:rsidRPr="00814E67" w14:paraId="7FD20B27" w14:textId="77777777" w:rsidTr="00AD3710">
        <w:trPr>
          <w:trHeight w:val="163"/>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2EECA3C" w14:textId="77777777" w:rsidR="00AD3710" w:rsidRPr="00814E67" w:rsidRDefault="00AD3710" w:rsidP="00AD3710">
            <w:pPr>
              <w:pStyle w:val="Contenidodelmarco"/>
              <w:jc w:val="center"/>
              <w:rPr>
                <w:rStyle w:val="Fuentedeprrafopredeter1"/>
                <w:rFonts w:cs="Times New Roman"/>
                <w:b/>
                <w:bCs/>
                <w:i/>
                <w:iCs/>
              </w:rPr>
            </w:pPr>
            <m:oMath>
              <m:r>
                <m:rPr>
                  <m:sty m:val="bi"/>
                </m:rPr>
                <w:rPr>
                  <w:rStyle w:val="Fuentedeprrafopredeter1"/>
                  <w:rFonts w:ascii="Cambria Math" w:hAnsi="Cambria Math" w:cs="Times New Roman"/>
                </w:rPr>
                <m:t>s</m:t>
              </m:r>
            </m:oMath>
            <w:r w:rsidRPr="00814E67" w:rsidDel="00AE7592">
              <w:rPr>
                <w:rStyle w:val="Fuentedeprrafopredeter1"/>
                <w:rFonts w:cs="Times New Roman"/>
                <w:b/>
                <w:bCs/>
                <w:i/>
                <w:iCs/>
              </w:rPr>
              <w:t xml:space="preserve"> </w:t>
            </w:r>
            <w:r w:rsidRPr="00814E67">
              <w:rPr>
                <w:rStyle w:val="Fuentedeprrafopredeter1"/>
                <w:rFonts w:cs="Times New Roman"/>
                <w:b/>
                <w:bCs/>
                <w:iCs/>
              </w:rPr>
              <w:t>[cm]</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DD112F9" w14:textId="77777777" w:rsidR="00AD3710" w:rsidRPr="00814E67" w:rsidRDefault="00AD3710" w:rsidP="00AD3710">
            <w:pPr>
              <w:pStyle w:val="Contenidodelmarco"/>
              <w:jc w:val="center"/>
              <w:rPr>
                <w:rStyle w:val="Fuentedeprrafopredeter1"/>
                <w:rFonts w:cs="Times New Roman"/>
              </w:rPr>
            </w:pPr>
            <w:r w:rsidRPr="00814E67">
              <w:rPr>
                <w:rStyle w:val="Fuentedeprrafopredeter1"/>
                <w:rFonts w:cs="Times New Roman"/>
              </w:rPr>
              <w:t>1.87 x 10</w:t>
            </w:r>
            <w:r w:rsidRPr="00814E67">
              <w:rPr>
                <w:rStyle w:val="Fuentedeprrafopredeter1"/>
                <w:rFonts w:cs="Times New Roman"/>
                <w:vertAlign w:val="superscript"/>
              </w:rPr>
              <w:t>-8 c</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8D1B69F" w14:textId="77777777" w:rsidR="00AD3710" w:rsidRPr="00814E67" w:rsidRDefault="00AD3710" w:rsidP="00AD3710">
            <w:pPr>
              <w:pStyle w:val="Contenidodelmarco"/>
              <w:jc w:val="center"/>
              <w:rPr>
                <w:rStyle w:val="Fuentedeprrafopredeter1"/>
                <w:rFonts w:cs="Times New Roman"/>
              </w:rPr>
            </w:pPr>
            <w:r w:rsidRPr="00814E67">
              <w:rPr>
                <w:rStyle w:val="Fuentedeprrafopredeter1"/>
                <w:rFonts w:cs="Times New Roman"/>
              </w:rPr>
              <w:t>1.66 x 10</w:t>
            </w:r>
            <w:r w:rsidRPr="00814E67">
              <w:rPr>
                <w:rStyle w:val="Fuentedeprrafopredeter1"/>
                <w:rFonts w:cs="Times New Roman"/>
                <w:vertAlign w:val="superscript"/>
              </w:rPr>
              <w:t>-8 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057B546" w14:textId="77777777" w:rsidR="00AD3710" w:rsidRPr="00814E67" w:rsidRDefault="00AD3710" w:rsidP="00AD3710">
            <w:pPr>
              <w:pStyle w:val="Contenidodelmarco"/>
              <w:jc w:val="center"/>
              <w:rPr>
                <w:rStyle w:val="Fuentedeprrafopredeter1"/>
                <w:rFonts w:cs="Times New Roman"/>
              </w:rPr>
            </w:pPr>
            <w:r w:rsidRPr="00814E67">
              <w:rPr>
                <w:rStyle w:val="Fuentedeprrafopredeter1"/>
                <w:rFonts w:cs="Times New Roman"/>
              </w:rPr>
              <w:t>3.46 x 10</w:t>
            </w:r>
            <w:r w:rsidRPr="00814E67">
              <w:rPr>
                <w:rStyle w:val="Fuentedeprrafopredeter1"/>
                <w:rFonts w:cs="Times New Roman"/>
                <w:vertAlign w:val="superscript"/>
              </w:rPr>
              <w:t>-8 c</w:t>
            </w:r>
          </w:p>
        </w:tc>
      </w:tr>
      <w:tr w:rsidR="00AD3710" w:rsidRPr="00814E67" w14:paraId="05F9AC8A" w14:textId="77777777" w:rsidTr="00AD3710">
        <w:trPr>
          <w:trHeight w:val="117"/>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802D75F" w14:textId="77777777" w:rsidR="00AD3710" w:rsidRPr="00814E67" w:rsidRDefault="00AD3710" w:rsidP="00AD3710">
            <w:pPr>
              <w:pStyle w:val="Contenidodelmarco"/>
              <w:jc w:val="center"/>
              <w:rPr>
                <w:rFonts w:cs="Times New Roman"/>
                <w:b/>
                <w:bCs/>
              </w:rPr>
            </w:pPr>
            <m:oMath>
              <m:r>
                <m:rPr>
                  <m:sty m:val="b"/>
                </m:rPr>
                <w:rPr>
                  <w:rFonts w:ascii="Cambria Math" w:hAnsi="Cambria Math" w:cs="Times New Roman"/>
                  <w:color w:val="auto"/>
                </w:rPr>
                <m:t>Δ</m:t>
              </m:r>
              <m:r>
                <m:rPr>
                  <m:sty m:val="b"/>
                </m:rPr>
                <w:rPr>
                  <w:rFonts w:ascii="Cambria Math" w:hAnsi="Cambria Math" w:cs="Times New Roman"/>
                  <w:color w:val="auto"/>
                  <w:lang w:val="en-US"/>
                </w:rPr>
                <m:t>t</m:t>
              </m:r>
            </m:oMath>
            <w:r w:rsidRPr="00814E67">
              <w:rPr>
                <w:rStyle w:val="Fuentedeprrafopredeter1"/>
                <w:rFonts w:cs="Times New Roman"/>
                <w:b/>
                <w:bCs/>
                <w:color w:val="000000" w:themeColor="text1"/>
              </w:rPr>
              <w:t xml:space="preserve"> [s]</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00D2942" w14:textId="77777777" w:rsidR="00AD3710" w:rsidRPr="00814E67" w:rsidRDefault="00AD3710" w:rsidP="00AD3710">
            <w:pPr>
              <w:pStyle w:val="Contenidodelmarco"/>
              <w:jc w:val="center"/>
              <w:rPr>
                <w:rFonts w:cs="Times New Roman"/>
              </w:rPr>
            </w:pPr>
            <w:r w:rsidRPr="00814E67">
              <w:rPr>
                <w:rStyle w:val="Fuentedeprrafopredeter1"/>
                <w:rFonts w:cs="Times New Roman"/>
                <w:color w:val="000000" w:themeColor="text1"/>
              </w:rPr>
              <w:t xml:space="preserve">0.39 ± 0.08 </w:t>
            </w:r>
            <w:r w:rsidRPr="00814E67">
              <w:rPr>
                <w:rStyle w:val="Fuentedeprrafopredeter1"/>
                <w:rFonts w:cs="Times New Roman"/>
                <w:color w:val="000000" w:themeColor="text1"/>
                <w:vertAlign w:val="superscript"/>
              </w:rPr>
              <w:t>a</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3F4A955" w14:textId="77777777" w:rsidR="00AD3710" w:rsidRPr="00814E67" w:rsidRDefault="00AD3710" w:rsidP="00AD3710">
            <w:pPr>
              <w:pStyle w:val="Contenidodelmarco"/>
              <w:jc w:val="center"/>
              <w:rPr>
                <w:rFonts w:cs="Times New Roman"/>
              </w:rPr>
            </w:pPr>
            <w:r w:rsidRPr="00814E67">
              <w:rPr>
                <w:rStyle w:val="Fuentedeprrafopredeter1"/>
                <w:rFonts w:cs="Times New Roman"/>
                <w:color w:val="000000" w:themeColor="text1"/>
              </w:rPr>
              <w:t xml:space="preserve">0.52 ± 0.22 </w:t>
            </w:r>
            <w:r w:rsidRPr="00814E67">
              <w:rPr>
                <w:rStyle w:val="Fuentedeprrafopredeter1"/>
                <w:rFonts w:cs="Times New Roman"/>
                <w:color w:val="000000" w:themeColor="text1"/>
                <w:vertAlign w:val="superscript"/>
              </w:rPr>
              <w:t>a</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0C11125A" w14:textId="77777777" w:rsidR="00AD3710" w:rsidRPr="00814E67" w:rsidRDefault="00AD3710" w:rsidP="00AD3710">
            <w:pPr>
              <w:pStyle w:val="Contenidodelmarco"/>
              <w:jc w:val="center"/>
              <w:rPr>
                <w:rFonts w:cs="Times New Roman"/>
              </w:rPr>
            </w:pPr>
            <w:r w:rsidRPr="00814E67">
              <w:rPr>
                <w:rStyle w:val="Fuentedeprrafopredeter1"/>
                <w:rFonts w:cs="Times New Roman"/>
                <w:color w:val="000000" w:themeColor="text1"/>
              </w:rPr>
              <w:t>0.60</w:t>
            </w:r>
          </w:p>
        </w:tc>
      </w:tr>
      <w:tr w:rsidR="00AD3710" w:rsidRPr="00814E67" w14:paraId="077A0EC5" w14:textId="77777777" w:rsidTr="00AD3710">
        <w:trPr>
          <w:trHeight w:val="251"/>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65CD331" w14:textId="77777777" w:rsidR="00AD3710" w:rsidRPr="00814E67" w:rsidRDefault="00AD3710" w:rsidP="00AD3710">
            <w:pPr>
              <w:pStyle w:val="Contenidodelmarco"/>
              <w:jc w:val="center"/>
              <w:rPr>
                <w:rStyle w:val="Fuentedeprrafopredeter1"/>
                <w:rFonts w:cs="Times New Roman"/>
                <w:b/>
                <w:bCs/>
                <w:i/>
                <w:iCs/>
                <w:color w:val="000000" w:themeColor="text1"/>
              </w:rPr>
            </w:pPr>
            <m:oMath>
              <m:r>
                <m:rPr>
                  <m:sty m:val="bi"/>
                </m:rPr>
                <w:rPr>
                  <w:rStyle w:val="Fuentedeprrafopredeter1"/>
                  <w:rFonts w:ascii="Cambria Math" w:hAnsi="Cambria Math" w:cs="Times New Roman"/>
                  <w:color w:val="000000" w:themeColor="text1"/>
                </w:rPr>
                <m:t>v</m:t>
              </m:r>
            </m:oMath>
            <w:r w:rsidRPr="00814E67">
              <w:rPr>
                <w:rStyle w:val="Fuentedeprrafopredeter1"/>
                <w:rFonts w:cs="Times New Roman"/>
                <w:b/>
                <w:bCs/>
                <w:i/>
                <w:iCs/>
                <w:color w:val="000000" w:themeColor="text1"/>
              </w:rPr>
              <w:t xml:space="preserve"> </w:t>
            </w:r>
            <w:r w:rsidRPr="00814E67">
              <w:rPr>
                <w:rStyle w:val="Fuentedeprrafopredeter1"/>
                <w:rFonts w:cs="Times New Roman"/>
                <w:b/>
                <w:bCs/>
                <w:iCs/>
                <w:color w:val="000000" w:themeColor="text1"/>
              </w:rPr>
              <w:t>[cm s</w:t>
            </w:r>
            <w:r w:rsidRPr="00814E67">
              <w:rPr>
                <w:rStyle w:val="Fuentedeprrafopredeter1"/>
                <w:rFonts w:cs="Times New Roman"/>
                <w:b/>
                <w:bCs/>
                <w:iCs/>
                <w:color w:val="000000" w:themeColor="text1"/>
                <w:vertAlign w:val="superscript"/>
              </w:rPr>
              <w:t>-1</w:t>
            </w:r>
            <w:r w:rsidRPr="00814E67">
              <w:rPr>
                <w:rStyle w:val="Fuentedeprrafopredeter1"/>
                <w:rFonts w:cs="Times New Roman"/>
                <w:b/>
                <w:bCs/>
                <w:iCs/>
                <w:color w:val="000000" w:themeColor="text1"/>
              </w:rPr>
              <w:t>]</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21EED52" w14:textId="77777777" w:rsidR="00AD3710" w:rsidRPr="00814E67" w:rsidRDefault="00AD3710" w:rsidP="00AD3710">
            <w:pPr>
              <w:pStyle w:val="Contenidodelmarco"/>
              <w:jc w:val="center"/>
              <w:rPr>
                <w:rStyle w:val="Fuentedeprrafopredeter1"/>
                <w:rFonts w:cs="Times New Roman"/>
                <w:color w:val="000000" w:themeColor="text1"/>
              </w:rPr>
            </w:pPr>
            <w:r w:rsidRPr="00814E67">
              <w:rPr>
                <w:rStyle w:val="Fuentedeprrafopredeter1"/>
                <w:rFonts w:cs="Times New Roman"/>
                <w:color w:val="000000" w:themeColor="text1"/>
              </w:rPr>
              <w:t>71.8 x 10</w:t>
            </w:r>
            <w:r w:rsidRPr="00814E67">
              <w:rPr>
                <w:rStyle w:val="Fuentedeprrafopredeter1"/>
                <w:rFonts w:cs="Times New Roman"/>
                <w:color w:val="000000" w:themeColor="text1"/>
                <w:vertAlign w:val="superscript"/>
              </w:rPr>
              <w:t>-4 c</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783398F" w14:textId="77777777" w:rsidR="00AD3710" w:rsidRPr="00814E67" w:rsidRDefault="00AD3710" w:rsidP="00AD3710">
            <w:pPr>
              <w:pStyle w:val="Contenidodelmarco"/>
              <w:jc w:val="center"/>
              <w:rPr>
                <w:rStyle w:val="Fuentedeprrafopredeter1"/>
                <w:rFonts w:cs="Times New Roman"/>
                <w:color w:val="000000" w:themeColor="text1"/>
              </w:rPr>
            </w:pPr>
            <w:r w:rsidRPr="00814E67">
              <w:rPr>
                <w:rStyle w:val="Fuentedeprrafopredeter1"/>
                <w:rFonts w:cs="Times New Roman"/>
                <w:color w:val="000000" w:themeColor="text1"/>
              </w:rPr>
              <w:t>88.5 x 10</w:t>
            </w:r>
            <w:r w:rsidRPr="00814E67">
              <w:rPr>
                <w:rStyle w:val="Fuentedeprrafopredeter1"/>
                <w:rFonts w:cs="Times New Roman"/>
                <w:color w:val="000000" w:themeColor="text1"/>
                <w:vertAlign w:val="superscript"/>
              </w:rPr>
              <w:t>-4 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043E376" w14:textId="77777777" w:rsidR="00AD3710" w:rsidRPr="00814E67" w:rsidRDefault="00AD3710" w:rsidP="00AD3710">
            <w:pPr>
              <w:pStyle w:val="Contenidodelmarco"/>
              <w:jc w:val="center"/>
              <w:rPr>
                <w:rStyle w:val="Fuentedeprrafopredeter1"/>
                <w:rFonts w:cs="Times New Roman"/>
                <w:color w:val="000000" w:themeColor="text1"/>
              </w:rPr>
            </w:pPr>
            <w:r w:rsidRPr="00814E67">
              <w:rPr>
                <w:rStyle w:val="Fuentedeprrafopredeter1"/>
                <w:rFonts w:cs="Times New Roman"/>
                <w:color w:val="000000" w:themeColor="text1"/>
              </w:rPr>
              <w:t>100 x 10</w:t>
            </w:r>
            <w:r w:rsidRPr="00814E67">
              <w:rPr>
                <w:rStyle w:val="Fuentedeprrafopredeter1"/>
                <w:rFonts w:cs="Times New Roman"/>
                <w:color w:val="000000" w:themeColor="text1"/>
                <w:vertAlign w:val="superscript"/>
              </w:rPr>
              <w:t>-4 c</w:t>
            </w:r>
          </w:p>
        </w:tc>
      </w:tr>
      <w:tr w:rsidR="00AD3710" w:rsidRPr="00814E67" w14:paraId="57F3F78C" w14:textId="77777777" w:rsidTr="00AD3710">
        <w:trPr>
          <w:trHeight w:val="176"/>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0955A6E" w14:textId="77777777" w:rsidR="00AD3710" w:rsidRPr="00814E67" w:rsidRDefault="00AD3710" w:rsidP="00AD3710">
            <w:pPr>
              <w:pStyle w:val="Contenidodelmarco"/>
              <w:jc w:val="center"/>
              <w:rPr>
                <w:rFonts w:cs="Times New Roman"/>
                <w:b/>
                <w:bCs/>
              </w:rPr>
            </w:pPr>
            <m:oMath>
              <m:r>
                <m:rPr>
                  <m:sty m:val="bi"/>
                </m:rPr>
                <w:rPr>
                  <w:rStyle w:val="Fuentedeprrafopredeter1"/>
                  <w:rFonts w:ascii="Cambria Math" w:hAnsi="Cambria Math" w:cs="Times New Roman"/>
                  <w:color w:val="000000" w:themeColor="text1"/>
                </w:rPr>
                <m:t>∆</m:t>
              </m:r>
            </m:oMath>
            <w:r w:rsidRPr="00814E67">
              <w:rPr>
                <w:rStyle w:val="Fuentedeprrafopredeter1"/>
                <w:rFonts w:cs="Times New Roman"/>
                <w:b/>
                <w:bCs/>
                <w:i/>
                <w:iCs/>
                <w:color w:val="000000" w:themeColor="text1"/>
              </w:rPr>
              <w:t>r</w:t>
            </w:r>
            <w:r w:rsidRPr="00814E67">
              <w:rPr>
                <w:rStyle w:val="Fuentedeprrafopredeter1"/>
                <w:rFonts w:cs="Times New Roman"/>
                <w:b/>
                <w:bCs/>
                <w:color w:val="000000" w:themeColor="text1"/>
              </w:rPr>
              <w:t xml:space="preserve"> [cm]</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CBB1703" w14:textId="77777777" w:rsidR="00AD3710" w:rsidRPr="00814E67" w:rsidRDefault="00AD3710" w:rsidP="00AD3710">
            <w:pPr>
              <w:pStyle w:val="Contenidodelmarco"/>
              <w:jc w:val="center"/>
              <w:rPr>
                <w:rFonts w:cs="Times New Roman"/>
                <w:highlight w:val="yellow"/>
              </w:rPr>
            </w:pPr>
            <w:r w:rsidRPr="00814E67">
              <w:rPr>
                <w:rStyle w:val="Fuentedeprrafopredeter1"/>
                <w:rFonts w:cs="Times New Roman"/>
                <w:color w:val="000000" w:themeColor="text1"/>
              </w:rPr>
              <w:t>28 ± 6 x 10</w:t>
            </w:r>
            <w:r w:rsidRPr="00814E67">
              <w:rPr>
                <w:rStyle w:val="Fuentedeprrafopredeter1"/>
                <w:rFonts w:cs="Times New Roman"/>
                <w:color w:val="000000" w:themeColor="text1"/>
                <w:vertAlign w:val="superscript"/>
              </w:rPr>
              <w:t>-4 a</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06E9B0B" w14:textId="77777777" w:rsidR="00AD3710" w:rsidRPr="00814E67" w:rsidRDefault="00AD3710" w:rsidP="00AD3710">
            <w:pPr>
              <w:pStyle w:val="Contenidodelmarco"/>
              <w:jc w:val="center"/>
              <w:rPr>
                <w:rFonts w:cs="Times New Roman"/>
                <w:highlight w:val="yellow"/>
              </w:rPr>
            </w:pPr>
            <w:r w:rsidRPr="00814E67">
              <w:rPr>
                <w:rStyle w:val="Fuentedeprrafopredeter1"/>
                <w:rFonts w:cs="Times New Roman"/>
                <w:color w:val="000000" w:themeColor="text1"/>
              </w:rPr>
              <w:t>46 ± 14 x 10</w:t>
            </w:r>
            <w:r w:rsidRPr="00814E67">
              <w:rPr>
                <w:rStyle w:val="Fuentedeprrafopredeter1"/>
                <w:rFonts w:cs="Times New Roman"/>
                <w:color w:val="000000" w:themeColor="text1"/>
                <w:vertAlign w:val="superscript"/>
              </w:rPr>
              <w:t>-4 a</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E3EBD60" w14:textId="77777777" w:rsidR="00AD3710" w:rsidRPr="00814E67" w:rsidRDefault="00AD3710" w:rsidP="00AD3710">
            <w:pPr>
              <w:pStyle w:val="Contenidodelmarco"/>
              <w:jc w:val="center"/>
              <w:rPr>
                <w:rFonts w:cs="Times New Roman"/>
              </w:rPr>
            </w:pPr>
            <w:r w:rsidRPr="00814E67">
              <w:rPr>
                <w:rStyle w:val="Fuentedeprrafopredeter1"/>
                <w:rFonts w:cs="Times New Roman"/>
                <w:color w:val="000000" w:themeColor="text1"/>
              </w:rPr>
              <w:t>60 x 10</w:t>
            </w:r>
            <w:r w:rsidRPr="00814E67">
              <w:rPr>
                <w:rStyle w:val="Fuentedeprrafopredeter1"/>
                <w:rFonts w:cs="Times New Roman"/>
                <w:color w:val="000000" w:themeColor="text1"/>
                <w:vertAlign w:val="superscript"/>
              </w:rPr>
              <w:t>-4</w:t>
            </w:r>
          </w:p>
        </w:tc>
      </w:tr>
      <w:tr w:rsidR="00AD3710" w:rsidRPr="00814E67" w14:paraId="4F53F6E5" w14:textId="77777777" w:rsidTr="00AD3710">
        <w:trPr>
          <w:trHeight w:val="145"/>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6C905F" w14:textId="77777777" w:rsidR="00AD3710" w:rsidRPr="00814E67" w:rsidRDefault="00AD3710" w:rsidP="00AD3710">
            <w:pPr>
              <w:pStyle w:val="Contenidodelmarco"/>
              <w:jc w:val="center"/>
              <w:rPr>
                <w:rStyle w:val="Fuentedeprrafopredeter1"/>
                <w:rFonts w:cs="Times New Roman"/>
                <w:b/>
                <w:bCs/>
                <w:i/>
                <w:iCs/>
                <w:color w:val="000000" w:themeColor="text1"/>
              </w:rPr>
            </w:pPr>
            <w:r w:rsidRPr="00814E67">
              <w:rPr>
                <w:rStyle w:val="Fuentedeprrafopredeter1"/>
                <w:rFonts w:cs="Times New Roman"/>
                <w:b/>
                <w:bCs/>
                <w:i/>
                <w:iCs/>
                <w:color w:val="000000" w:themeColor="text1"/>
              </w:rPr>
              <w:t xml:space="preserve">L </w:t>
            </w:r>
            <w:r w:rsidRPr="00814E67">
              <w:rPr>
                <w:rStyle w:val="Fuentedeprrafopredeter1"/>
                <w:rFonts w:cs="Times New Roman"/>
                <w:b/>
                <w:bCs/>
                <w:iCs/>
                <w:color w:val="000000" w:themeColor="text1"/>
              </w:rPr>
              <w:t>[cm]</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0EB7688" w14:textId="77777777" w:rsidR="00AD3710" w:rsidRPr="00814E67" w:rsidRDefault="00AD3710" w:rsidP="00AD3710">
            <w:pPr>
              <w:pStyle w:val="Contenidodelmarco"/>
              <w:jc w:val="center"/>
              <w:rPr>
                <w:rFonts w:cs="Times New Roman"/>
                <w:color w:val="000000" w:themeColor="text1"/>
              </w:rPr>
            </w:pPr>
            <w:r w:rsidRPr="00814E67">
              <w:rPr>
                <w:rStyle w:val="Fuentedeprrafopredeter1"/>
                <w:rFonts w:cs="Times New Roman"/>
                <w:color w:val="000000" w:themeColor="text1"/>
              </w:rPr>
              <w:t>39.2 ± 2.2 x 10</w:t>
            </w:r>
            <w:r w:rsidRPr="00814E67">
              <w:rPr>
                <w:rStyle w:val="Fuentedeprrafopredeter1"/>
                <w:rFonts w:cs="Times New Roman"/>
                <w:color w:val="000000" w:themeColor="text1"/>
                <w:vertAlign w:val="superscript"/>
              </w:rPr>
              <w:t>-4 d</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42F4070" w14:textId="77777777" w:rsidR="00AD3710" w:rsidRPr="00814E67" w:rsidRDefault="00AD3710" w:rsidP="00AD3710">
            <w:pPr>
              <w:pStyle w:val="Contenidodelmarco"/>
              <w:jc w:val="center"/>
              <w:rPr>
                <w:rStyle w:val="Fuentedeprrafopredeter1"/>
                <w:rFonts w:cs="Times New Roman"/>
                <w:b/>
                <w:color w:val="000000" w:themeColor="text1"/>
                <w:highlight w:val="yellow"/>
              </w:rPr>
            </w:pPr>
            <w:r w:rsidRPr="00814E67">
              <w:rPr>
                <w:rFonts w:cs="Times New Roman"/>
              </w:rPr>
              <w:t xml:space="preserve">48.7 </w:t>
            </w:r>
            <w:r w:rsidRPr="00814E67">
              <w:rPr>
                <w:rStyle w:val="Fuentedeprrafopredeter1"/>
                <w:rFonts w:cs="Times New Roman"/>
                <w:color w:val="000000" w:themeColor="text1"/>
              </w:rPr>
              <w:t>±</w:t>
            </w:r>
            <w:r w:rsidRPr="00814E67">
              <w:rPr>
                <w:rFonts w:cs="Times New Roman"/>
              </w:rPr>
              <w:t xml:space="preserve"> 2.1 </w:t>
            </w:r>
            <w:r w:rsidRPr="00814E67">
              <w:rPr>
                <w:rStyle w:val="Fuentedeprrafopredeter1"/>
                <w:rFonts w:cs="Times New Roman"/>
                <w:color w:val="000000" w:themeColor="text1"/>
              </w:rPr>
              <w:t>x 10</w:t>
            </w:r>
            <w:r w:rsidRPr="00814E67">
              <w:rPr>
                <w:rStyle w:val="Fuentedeprrafopredeter1"/>
                <w:rFonts w:cs="Times New Roman"/>
                <w:color w:val="000000" w:themeColor="text1"/>
                <w:vertAlign w:val="superscript"/>
              </w:rPr>
              <w:t>-4 d</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3C7B411" w14:textId="77777777" w:rsidR="00AD3710" w:rsidRPr="00814E67" w:rsidRDefault="00AD3710" w:rsidP="00AD3710">
            <w:pPr>
              <w:pStyle w:val="Contenidodelmarco"/>
              <w:jc w:val="center"/>
              <w:rPr>
                <w:rStyle w:val="Fuentedeprrafopredeter1"/>
                <w:rFonts w:cs="Times New Roman"/>
                <w:highlight w:val="yellow"/>
              </w:rPr>
            </w:pPr>
            <w:r w:rsidRPr="00814E67">
              <w:rPr>
                <w:rStyle w:val="Fuentedeprrafopredeter1"/>
                <w:rFonts w:cs="Times New Roman"/>
              </w:rPr>
              <w:t xml:space="preserve">50 </w:t>
            </w:r>
            <w:r w:rsidRPr="00814E67">
              <w:rPr>
                <w:rStyle w:val="Fuentedeprrafopredeter1"/>
                <w:rFonts w:cs="Times New Roman"/>
                <w:color w:val="000000" w:themeColor="text1"/>
              </w:rPr>
              <w:t>x 10</w:t>
            </w:r>
            <w:r w:rsidRPr="00814E67">
              <w:rPr>
                <w:rStyle w:val="Fuentedeprrafopredeter1"/>
                <w:rFonts w:cs="Times New Roman"/>
                <w:color w:val="000000" w:themeColor="text1"/>
                <w:vertAlign w:val="superscript"/>
              </w:rPr>
              <w:t>-4 e</w:t>
            </w:r>
          </w:p>
        </w:tc>
      </w:tr>
      <w:tr w:rsidR="00AD3710" w:rsidRPr="00814E67" w14:paraId="1D892668" w14:textId="77777777" w:rsidTr="00AD3710">
        <w:trPr>
          <w:trHeight w:val="99"/>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3339FCF" w14:textId="77777777" w:rsidR="00AD3710" w:rsidRPr="00814E67" w:rsidRDefault="00AD3710" w:rsidP="00AD3710">
            <w:pPr>
              <w:pStyle w:val="Contenidodelmarco"/>
              <w:jc w:val="center"/>
              <w:rPr>
                <w:rStyle w:val="Fuentedeprrafopredeter1"/>
                <w:rFonts w:cs="Times New Roman"/>
                <w:b/>
                <w:bCs/>
                <w:i/>
                <w:iCs/>
                <w:color w:val="000000" w:themeColor="text1"/>
              </w:rPr>
            </w:pPr>
            <w:r w:rsidRPr="00814E67">
              <w:rPr>
                <w:rStyle w:val="Fuentedeprrafopredeter1"/>
                <w:rFonts w:cs="Times New Roman"/>
                <w:b/>
                <w:bCs/>
                <w:i/>
                <w:iCs/>
                <w:color w:val="000000" w:themeColor="text1"/>
              </w:rPr>
              <w:t xml:space="preserve">a </w:t>
            </w:r>
            <w:r w:rsidRPr="00814E67">
              <w:rPr>
                <w:rStyle w:val="Fuentedeprrafopredeter1"/>
                <w:rFonts w:cs="Times New Roman"/>
                <w:b/>
                <w:bCs/>
                <w:iCs/>
                <w:color w:val="000000" w:themeColor="text1"/>
              </w:rPr>
              <w:t>[cm]</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E86A243" w14:textId="77777777" w:rsidR="00AD3710" w:rsidRPr="00814E67" w:rsidRDefault="00AD3710" w:rsidP="00AD3710">
            <w:pPr>
              <w:pStyle w:val="Contenidodelmarco"/>
              <w:jc w:val="center"/>
              <w:rPr>
                <w:rStyle w:val="Fuentedeprrafopredeter1"/>
                <w:rFonts w:cs="Times New Roman"/>
                <w:color w:val="000000" w:themeColor="text1"/>
              </w:rPr>
            </w:pPr>
            <w:r w:rsidRPr="00814E67">
              <w:rPr>
                <w:rStyle w:val="Fuentedeprrafopredeter1"/>
                <w:rFonts w:cs="Times New Roman"/>
                <w:color w:val="000000" w:themeColor="text1"/>
              </w:rPr>
              <w:t>1.39 x 10</w:t>
            </w:r>
            <w:r w:rsidRPr="00814E67">
              <w:rPr>
                <w:rStyle w:val="Fuentedeprrafopredeter1"/>
                <w:rFonts w:cs="Times New Roman"/>
                <w:color w:val="000000" w:themeColor="text1"/>
                <w:vertAlign w:val="superscript"/>
              </w:rPr>
              <w:t>-4 c</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E0BCAEB" w14:textId="77777777" w:rsidR="00AD3710" w:rsidRPr="00814E67" w:rsidRDefault="00AD3710" w:rsidP="00AD3710">
            <w:pPr>
              <w:pStyle w:val="Contenidodelmarco"/>
              <w:jc w:val="center"/>
              <w:rPr>
                <w:rFonts w:cs="Times New Roman"/>
              </w:rPr>
            </w:pPr>
            <w:r w:rsidRPr="00814E67">
              <w:rPr>
                <w:rStyle w:val="Fuentedeprrafopredeter1"/>
                <w:rFonts w:cs="Times New Roman"/>
                <w:color w:val="000000" w:themeColor="text1"/>
              </w:rPr>
              <w:t>1.56 x 10</w:t>
            </w:r>
            <w:r w:rsidRPr="00814E67">
              <w:rPr>
                <w:rStyle w:val="Fuentedeprrafopredeter1"/>
                <w:rFonts w:cs="Times New Roman"/>
                <w:color w:val="000000" w:themeColor="text1"/>
                <w:vertAlign w:val="superscript"/>
              </w:rPr>
              <w:t>-4 c</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5746666" w14:textId="77777777" w:rsidR="00AD3710" w:rsidRPr="00814E67" w:rsidRDefault="00AD3710" w:rsidP="00AD3710">
            <w:pPr>
              <w:pStyle w:val="Contenidodelmarco"/>
              <w:jc w:val="center"/>
              <w:rPr>
                <w:rStyle w:val="Fuentedeprrafopredeter1"/>
                <w:rFonts w:cs="Times New Roman"/>
              </w:rPr>
            </w:pPr>
            <w:r w:rsidRPr="00814E67">
              <w:rPr>
                <w:rStyle w:val="Fuentedeprrafopredeter1"/>
                <w:rFonts w:cs="Times New Roman"/>
                <w:color w:val="000000" w:themeColor="text1"/>
              </w:rPr>
              <w:t>1.58 x 10</w:t>
            </w:r>
            <w:r w:rsidRPr="00814E67">
              <w:rPr>
                <w:rStyle w:val="Fuentedeprrafopredeter1"/>
                <w:rFonts w:cs="Times New Roman"/>
                <w:color w:val="000000" w:themeColor="text1"/>
                <w:vertAlign w:val="superscript"/>
              </w:rPr>
              <w:t>-4 c</w:t>
            </w:r>
          </w:p>
        </w:tc>
      </w:tr>
      <w:tr w:rsidR="00AD3710" w:rsidRPr="0054248B" w14:paraId="2A6310C0" w14:textId="77777777" w:rsidTr="00AD3710">
        <w:trPr>
          <w:trHeight w:val="255"/>
        </w:trPr>
        <w:tc>
          <w:tcPr>
            <w:tcW w:w="1502"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19324F8" w14:textId="77777777" w:rsidR="00AD3710" w:rsidRPr="00814E67" w:rsidRDefault="00AD3710" w:rsidP="00AD3710">
            <w:pPr>
              <w:pStyle w:val="Contenidodelmarco"/>
              <w:jc w:val="center"/>
              <w:rPr>
                <w:rStyle w:val="Fuentedeprrafopredeter1"/>
                <w:rFonts w:cs="Times New Roman"/>
                <w:b/>
                <w:bCs/>
                <w:i/>
                <w:iCs/>
                <w:color w:val="0070C0"/>
              </w:rPr>
            </w:pPr>
            <w:r w:rsidRPr="00814E67">
              <w:rPr>
                <w:rStyle w:val="Fuentedeprrafopredeter1"/>
                <w:rFonts w:cs="Times New Roman"/>
                <w:b/>
                <w:bCs/>
                <w:i/>
                <w:iCs/>
                <w:color w:val="0070C0"/>
              </w:rPr>
              <w:t>Pe</w:t>
            </w:r>
          </w:p>
        </w:tc>
        <w:tc>
          <w:tcPr>
            <w:tcW w:w="23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74FE18FB" w14:textId="77777777" w:rsidR="00AD3710" w:rsidRPr="00814E67" w:rsidRDefault="00AD3710" w:rsidP="00AD3710">
            <w:pPr>
              <w:pStyle w:val="Contenidodelmarco"/>
              <w:jc w:val="center"/>
              <w:rPr>
                <w:rStyle w:val="Fuentedeprrafopredeter1"/>
                <w:rFonts w:cs="Times New Roman"/>
                <w:color w:val="0070C0"/>
              </w:rPr>
            </w:pPr>
            <w:r w:rsidRPr="00814E67">
              <w:rPr>
                <w:rStyle w:val="Fuentedeprrafopredeter1"/>
                <w:rFonts w:cs="Times New Roman"/>
                <w:color w:val="0070C0"/>
              </w:rPr>
              <w:t>4.2 x 10</w:t>
            </w:r>
            <w:r w:rsidRPr="00814E67">
              <w:rPr>
                <w:rStyle w:val="Fuentedeprrafopredeter1"/>
                <w:rFonts w:cs="Times New Roman"/>
                <w:color w:val="0070C0"/>
                <w:vertAlign w:val="superscript"/>
              </w:rPr>
              <w:t>-1</w:t>
            </w:r>
            <w:r w:rsidRPr="00814E67">
              <w:rPr>
                <w:rStyle w:val="Fuentedeprrafopredeter1"/>
                <w:rFonts w:cs="Times New Roman"/>
                <w:color w:val="0070C0"/>
              </w:rPr>
              <w:t xml:space="preserve"> (sphere)</w:t>
            </w:r>
          </w:p>
          <w:p w14:paraId="53113BAF" w14:textId="77777777" w:rsidR="00AD3710" w:rsidRPr="00814E67" w:rsidRDefault="00AD3710" w:rsidP="00AD3710">
            <w:pPr>
              <w:pStyle w:val="Contenidodelmarco"/>
              <w:jc w:val="center"/>
              <w:rPr>
                <w:rStyle w:val="Fuentedeprrafopredeter1"/>
                <w:rFonts w:cs="Times New Roman"/>
                <w:color w:val="0070C0"/>
              </w:rPr>
            </w:pPr>
            <w:r w:rsidRPr="00814E67">
              <w:rPr>
                <w:rStyle w:val="Fuentedeprrafopredeter1"/>
                <w:rFonts w:cs="Times New Roman"/>
                <w:color w:val="0070C0"/>
              </w:rPr>
              <w:t>6.0 x 10</w:t>
            </w:r>
            <w:r w:rsidRPr="00814E67">
              <w:rPr>
                <w:rStyle w:val="Fuentedeprrafopredeter1"/>
                <w:rFonts w:cs="Times New Roman"/>
                <w:color w:val="0070C0"/>
                <w:vertAlign w:val="superscript"/>
              </w:rPr>
              <w:t xml:space="preserve">-2 </w:t>
            </w:r>
            <w:r w:rsidRPr="00814E67">
              <w:rPr>
                <w:rStyle w:val="Fuentedeprrafopredeter1"/>
                <w:rFonts w:cs="Times New Roman"/>
                <w:color w:val="0070C0"/>
              </w:rPr>
              <w:t xml:space="preserve">(cylinder) </w:t>
            </w:r>
            <w:r w:rsidRPr="00814E67">
              <w:rPr>
                <w:rStyle w:val="Fuentedeprrafopredeter1"/>
                <w:rFonts w:cs="Times New Roman"/>
                <w:color w:val="0070C0"/>
                <w:vertAlign w:val="superscript"/>
              </w:rPr>
              <w:t>g</w:t>
            </w:r>
          </w:p>
        </w:tc>
        <w:tc>
          <w:tcPr>
            <w:tcW w:w="2177"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572B94FF" w14:textId="77777777" w:rsidR="00AD3710" w:rsidRPr="00814E67" w:rsidRDefault="00AD3710" w:rsidP="00AD3710">
            <w:pPr>
              <w:pStyle w:val="Contenidodelmarco"/>
              <w:jc w:val="center"/>
              <w:rPr>
                <w:rStyle w:val="Fuentedeprrafopredeter1"/>
                <w:rFonts w:cs="Times New Roman"/>
                <w:color w:val="0070C0"/>
              </w:rPr>
            </w:pPr>
            <w:r w:rsidRPr="00814E67">
              <w:rPr>
                <w:rStyle w:val="Fuentedeprrafopredeter1"/>
                <w:rFonts w:cs="Times New Roman"/>
                <w:color w:val="0070C0"/>
              </w:rPr>
              <w:t>5.8 x 10</w:t>
            </w:r>
            <w:r w:rsidRPr="00814E67">
              <w:rPr>
                <w:rStyle w:val="Fuentedeprrafopredeter1"/>
                <w:rFonts w:cs="Times New Roman"/>
                <w:color w:val="0070C0"/>
                <w:vertAlign w:val="superscript"/>
              </w:rPr>
              <w:t>-1</w:t>
            </w:r>
            <w:r w:rsidRPr="00814E67">
              <w:rPr>
                <w:rStyle w:val="Fuentedeprrafopredeter1"/>
                <w:rFonts w:cs="Times New Roman"/>
                <w:color w:val="0070C0"/>
              </w:rPr>
              <w:t xml:space="preserve"> (sphere)</w:t>
            </w:r>
          </w:p>
          <w:p w14:paraId="3DFFCE1B" w14:textId="77777777" w:rsidR="00AD3710" w:rsidRPr="00814E67" w:rsidRDefault="00AD3710" w:rsidP="00AD3710">
            <w:pPr>
              <w:pStyle w:val="Contenidodelmarco"/>
              <w:jc w:val="center"/>
              <w:rPr>
                <w:rStyle w:val="Fuentedeprrafopredeter1"/>
                <w:rFonts w:cs="Times New Roman"/>
                <w:color w:val="0070C0"/>
              </w:rPr>
            </w:pPr>
            <w:r w:rsidRPr="00814E67">
              <w:rPr>
                <w:rStyle w:val="Fuentedeprrafopredeter1"/>
                <w:rFonts w:cs="Times New Roman"/>
                <w:color w:val="0070C0"/>
              </w:rPr>
              <w:t>7.4 x 10</w:t>
            </w:r>
            <w:r w:rsidRPr="00814E67">
              <w:rPr>
                <w:rStyle w:val="Fuentedeprrafopredeter1"/>
                <w:rFonts w:cs="Times New Roman"/>
                <w:color w:val="0070C0"/>
                <w:vertAlign w:val="superscript"/>
              </w:rPr>
              <w:t xml:space="preserve">-2 </w:t>
            </w:r>
            <w:r w:rsidRPr="00814E67">
              <w:rPr>
                <w:rStyle w:val="Fuentedeprrafopredeter1"/>
                <w:rFonts w:cs="Times New Roman"/>
                <w:color w:val="0070C0"/>
              </w:rPr>
              <w:t>(cylinder)</w:t>
            </w:r>
            <w:r w:rsidRPr="00814E67">
              <w:rPr>
                <w:rStyle w:val="Fuentedeprrafopredeter1"/>
                <w:rFonts w:cs="Times New Roman"/>
                <w:color w:val="0070C0"/>
                <w:vertAlign w:val="superscript"/>
              </w:rPr>
              <w:t xml:space="preserve"> g</w:t>
            </w:r>
          </w:p>
        </w:tc>
        <w:tc>
          <w:tcPr>
            <w:tcW w:w="197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1992C8FD" w14:textId="77777777" w:rsidR="00AD3710" w:rsidRPr="00814E67" w:rsidRDefault="00AD3710" w:rsidP="00AD3710">
            <w:pPr>
              <w:pStyle w:val="Contenidodelmarco"/>
              <w:jc w:val="center"/>
              <w:rPr>
                <w:rStyle w:val="Fuentedeprrafopredeter1"/>
                <w:rFonts w:cs="Times New Roman"/>
                <w:color w:val="0070C0"/>
              </w:rPr>
            </w:pPr>
            <w:r w:rsidRPr="00814E67">
              <w:rPr>
                <w:rStyle w:val="Fuentedeprrafopredeter1"/>
                <w:rFonts w:cs="Times New Roman"/>
                <w:color w:val="0070C0"/>
              </w:rPr>
              <w:t>6.6 x 10</w:t>
            </w:r>
            <w:r w:rsidRPr="00814E67">
              <w:rPr>
                <w:rStyle w:val="Fuentedeprrafopredeter1"/>
                <w:rFonts w:cs="Times New Roman"/>
                <w:color w:val="0070C0"/>
                <w:vertAlign w:val="superscript"/>
              </w:rPr>
              <w:t>-1</w:t>
            </w:r>
            <w:r w:rsidRPr="00814E67">
              <w:rPr>
                <w:rStyle w:val="Fuentedeprrafopredeter1"/>
                <w:rFonts w:cs="Times New Roman"/>
                <w:color w:val="0070C0"/>
              </w:rPr>
              <w:t xml:space="preserve"> (sphere)</w:t>
            </w:r>
          </w:p>
          <w:p w14:paraId="2F3549F5" w14:textId="77777777" w:rsidR="00AD3710" w:rsidRPr="00814E67" w:rsidRDefault="00AD3710" w:rsidP="00AD3710">
            <w:pPr>
              <w:pStyle w:val="Contenidodelmarco"/>
              <w:jc w:val="center"/>
              <w:rPr>
                <w:rStyle w:val="Fuentedeprrafopredeter1"/>
                <w:rFonts w:cs="Times New Roman"/>
                <w:color w:val="0070C0"/>
              </w:rPr>
            </w:pPr>
            <w:r w:rsidRPr="00814E67">
              <w:rPr>
                <w:rStyle w:val="Fuentedeprrafopredeter1"/>
                <w:rFonts w:cs="Times New Roman"/>
                <w:color w:val="0070C0"/>
              </w:rPr>
              <w:t>8.3 x 10</w:t>
            </w:r>
            <w:r w:rsidRPr="00814E67">
              <w:rPr>
                <w:rStyle w:val="Fuentedeprrafopredeter1"/>
                <w:rFonts w:cs="Times New Roman"/>
                <w:color w:val="0070C0"/>
                <w:vertAlign w:val="superscript"/>
              </w:rPr>
              <w:t xml:space="preserve">-2 </w:t>
            </w:r>
            <w:r w:rsidRPr="00814E67">
              <w:rPr>
                <w:rStyle w:val="Fuentedeprrafopredeter1"/>
                <w:rFonts w:cs="Times New Roman"/>
                <w:color w:val="0070C0"/>
              </w:rPr>
              <w:t>(cylinder)</w:t>
            </w:r>
            <w:r w:rsidRPr="00814E67">
              <w:rPr>
                <w:rStyle w:val="Fuentedeprrafopredeter1"/>
                <w:rFonts w:cs="Times New Roman"/>
                <w:color w:val="0070C0"/>
                <w:vertAlign w:val="superscript"/>
              </w:rPr>
              <w:t xml:space="preserve"> g</w:t>
            </w:r>
          </w:p>
        </w:tc>
      </w:tr>
    </w:tbl>
    <w:p w14:paraId="195DEEE5" w14:textId="77777777" w:rsidR="00AD3710" w:rsidRDefault="00AD3710" w:rsidP="00AD3710">
      <w:pPr>
        <w:spacing w:line="480" w:lineRule="auto"/>
        <w:jc w:val="center"/>
        <w:rPr>
          <w:rStyle w:val="Fuentedeprrafopredeter1"/>
          <w:b/>
          <w:bCs/>
        </w:rPr>
      </w:pPr>
      <w:r>
        <w:rPr>
          <w:rStyle w:val="Fuentedeprrafopredeter1"/>
          <w:b/>
          <w:bCs/>
        </w:rPr>
        <w:t>Supplementary File 1</w:t>
      </w:r>
    </w:p>
    <w:p w14:paraId="13D092AC" w14:textId="6E158026" w:rsidR="00AD3710" w:rsidRDefault="00AD3710" w:rsidP="00AD3710">
      <w:pPr>
        <w:spacing w:line="480" w:lineRule="auto"/>
        <w:jc w:val="center"/>
        <w:rPr>
          <w:rStyle w:val="Fuentedeprrafopredeter1"/>
          <w:b/>
          <w:bCs/>
        </w:rPr>
      </w:pPr>
      <w:r w:rsidRPr="00814E67">
        <w:rPr>
          <w:rStyle w:val="Fuentedeprrafopredeter1"/>
          <w:b/>
          <w:bCs/>
        </w:rPr>
        <w:t>Parameters of the chemoattractant sampling model for each species.</w:t>
      </w:r>
    </w:p>
    <w:p w14:paraId="49E236A7" w14:textId="77777777" w:rsidR="00AD3710" w:rsidRPr="00814E67" w:rsidRDefault="00AD3710" w:rsidP="00AD3710">
      <w:pPr>
        <w:spacing w:line="480" w:lineRule="auto"/>
        <w:jc w:val="center"/>
      </w:pPr>
    </w:p>
    <w:p w14:paraId="43979EA2" w14:textId="77777777" w:rsidR="00AD3710" w:rsidRPr="00814E67" w:rsidRDefault="00AD3710" w:rsidP="00AD3710">
      <w:pPr>
        <w:spacing w:line="480" w:lineRule="auto"/>
        <w:jc w:val="both"/>
      </w:pPr>
    </w:p>
    <w:p w14:paraId="4077016F" w14:textId="77777777" w:rsidR="00AD3710" w:rsidRDefault="00AD3710" w:rsidP="00AD3710">
      <w:pPr>
        <w:spacing w:line="480" w:lineRule="auto"/>
        <w:jc w:val="both"/>
      </w:pPr>
    </w:p>
    <w:p w14:paraId="0E71E585" w14:textId="77777777" w:rsidR="00AD3710" w:rsidRDefault="00AD3710" w:rsidP="00AD3710">
      <w:pPr>
        <w:spacing w:line="480" w:lineRule="auto"/>
        <w:jc w:val="both"/>
      </w:pPr>
    </w:p>
    <w:p w14:paraId="148C5CE4" w14:textId="77777777" w:rsidR="00AD3710" w:rsidRDefault="00AD3710" w:rsidP="00AD3710">
      <w:pPr>
        <w:spacing w:line="480" w:lineRule="auto"/>
        <w:jc w:val="both"/>
      </w:pPr>
    </w:p>
    <w:p w14:paraId="552AEFE8" w14:textId="77777777" w:rsidR="00AD3710" w:rsidRDefault="00AD3710" w:rsidP="00AD3710">
      <w:pPr>
        <w:spacing w:line="480" w:lineRule="auto"/>
        <w:jc w:val="both"/>
      </w:pPr>
    </w:p>
    <w:p w14:paraId="6E3CCC77" w14:textId="77777777" w:rsidR="00AD3710" w:rsidRDefault="00AD3710" w:rsidP="00AD3710">
      <w:pPr>
        <w:spacing w:line="480" w:lineRule="auto"/>
        <w:jc w:val="both"/>
      </w:pPr>
    </w:p>
    <w:p w14:paraId="2DB9FBE6" w14:textId="77777777" w:rsidR="00AD3710" w:rsidRDefault="00AD3710" w:rsidP="00AD3710">
      <w:pPr>
        <w:spacing w:line="480" w:lineRule="auto"/>
        <w:jc w:val="both"/>
      </w:pPr>
    </w:p>
    <w:p w14:paraId="7AEC9CC4" w14:textId="77777777" w:rsidR="00AD3710" w:rsidRDefault="00AD3710" w:rsidP="00AD3710">
      <w:pPr>
        <w:spacing w:line="480" w:lineRule="auto"/>
        <w:jc w:val="both"/>
      </w:pPr>
    </w:p>
    <w:p w14:paraId="5A624864" w14:textId="77777777" w:rsidR="00AD3710" w:rsidRDefault="00AD3710" w:rsidP="00AD3710">
      <w:pPr>
        <w:spacing w:line="480" w:lineRule="auto"/>
        <w:jc w:val="both"/>
      </w:pPr>
    </w:p>
    <w:p w14:paraId="57B90197" w14:textId="77777777" w:rsidR="00AD3710" w:rsidRDefault="00AD3710" w:rsidP="00AD3710">
      <w:pPr>
        <w:spacing w:line="480" w:lineRule="auto"/>
        <w:jc w:val="both"/>
      </w:pPr>
    </w:p>
    <w:p w14:paraId="7033F8B0" w14:textId="77777777" w:rsidR="00AD3710" w:rsidRDefault="00AD3710" w:rsidP="00AD3710">
      <w:pPr>
        <w:spacing w:line="480" w:lineRule="auto"/>
        <w:jc w:val="both"/>
      </w:pPr>
    </w:p>
    <w:p w14:paraId="2AAD9800" w14:textId="6F7ED811" w:rsidR="00AD3710" w:rsidRPr="00814E67" w:rsidRDefault="00AD3710" w:rsidP="00AD3710">
      <w:pPr>
        <w:spacing w:line="480" w:lineRule="auto"/>
        <w:jc w:val="both"/>
        <w:rPr>
          <w:rStyle w:val="Fuentedeprrafopredeter1"/>
          <w:b/>
          <w:bCs/>
          <w:color w:val="0070C0"/>
        </w:rPr>
      </w:pPr>
      <w:r w:rsidRPr="00814E67">
        <w:t xml:space="preserve">Note that the main differences between species are the number of receptors </w:t>
      </w:r>
      <m:oMath>
        <m:r>
          <w:rPr>
            <w:rStyle w:val="Fuentedeprrafopredeter1"/>
            <w:rFonts w:ascii="Cambria Math" w:hAnsi="Cambria Math"/>
          </w:rPr>
          <m:t>N</m:t>
        </m:r>
      </m:oMath>
      <w:r w:rsidRPr="00814E67">
        <w:t xml:space="preserve">. </w:t>
      </w:r>
      <m:oMath>
        <m:sSub>
          <m:sSubPr>
            <m:ctrlPr>
              <w:rPr>
                <w:rFonts w:ascii="Cambria Math" w:hAnsi="Cambria Math"/>
                <w:i/>
              </w:rPr>
            </m:ctrlPr>
          </m:sSubPr>
          <m:e>
            <m:r>
              <w:rPr>
                <w:rFonts w:ascii="Cambria Math" w:hAnsi="Cambria Math"/>
              </w:rPr>
              <m:t>N</m:t>
            </m:r>
          </m:e>
          <m:sub>
            <m:r>
              <w:rPr>
                <w:rFonts w:ascii="Cambria Math" w:hAnsi="Cambria Math"/>
              </w:rPr>
              <m:t>1/2</m:t>
            </m:r>
          </m:sub>
        </m:sSub>
      </m:oMath>
      <w:r w:rsidRPr="00814E67">
        <w:rPr>
          <w:rStyle w:val="Fuentedeprrafopredeter1"/>
        </w:rPr>
        <w:t xml:space="preserve"> number of receptors that allows half maximal binding rate for any concentration of chemoattractant, i.e. π</w:t>
      </w:r>
      <w:r w:rsidRPr="00814E67">
        <w:rPr>
          <w:rStyle w:val="Fuentedeprrafopredeter1"/>
          <w:i/>
          <w:iCs/>
        </w:rPr>
        <w:t>a/s</w:t>
      </w:r>
      <w:r w:rsidRPr="00814E67">
        <w:rPr>
          <w:rStyle w:val="Fuentedeprrafopredeter1"/>
        </w:rPr>
        <w:t xml:space="preserve">. </w:t>
      </w:r>
      <w:r w:rsidRPr="00814E67">
        <w:rPr>
          <w:rStyle w:val="Fuentedeprrafopredeter1"/>
          <w:i/>
          <w:iCs/>
        </w:rPr>
        <w:t>D</w:t>
      </w:r>
      <w:r w:rsidRPr="00814E67">
        <w:t xml:space="preserve"> diffusion</w:t>
      </w:r>
      <w:bookmarkStart w:id="0" w:name="_GoBack"/>
      <w:bookmarkEnd w:id="0"/>
      <w:r w:rsidRPr="00814E67">
        <w:t xml:space="preserve"> coefficient of the chemoattractant; </w:t>
      </w:r>
      <m:oMath>
        <m:r>
          <w:rPr>
            <w:rFonts w:ascii="Cambria Math" w:hAnsi="Cambria Math"/>
          </w:rPr>
          <m:t>Kon</m:t>
        </m:r>
      </m:oMath>
      <w:r w:rsidRPr="00814E67">
        <w:t xml:space="preserve"> assoc</w:t>
      </w:r>
      <w:proofErr w:type="spellStart"/>
      <w:r w:rsidRPr="00814E67">
        <w:t>iation</w:t>
      </w:r>
      <w:proofErr w:type="spellEnd"/>
      <w:r w:rsidRPr="00814E67">
        <w:t xml:space="preserve"> rate constant; </w:t>
      </w:r>
      <m:oMath>
        <m:r>
          <w:rPr>
            <w:rFonts w:ascii="Cambria Math" w:hAnsi="Cambria Math"/>
          </w:rPr>
          <m:t>s</m:t>
        </m:r>
      </m:oMath>
      <w:r w:rsidRPr="00814E67">
        <w:rPr>
          <w:rStyle w:val="Fuentedeprrafopredeter1"/>
          <w:i/>
          <w:iCs/>
        </w:rPr>
        <w:t xml:space="preserve"> </w:t>
      </w:r>
      <w:r w:rsidRPr="00814E67">
        <w:rPr>
          <w:rStyle w:val="Fuentedeprrafopredeter1"/>
          <w:iCs/>
        </w:rPr>
        <w:t xml:space="preserve">effective </w:t>
      </w:r>
      <w:r w:rsidRPr="00814E67">
        <w:t xml:space="preserve">radius of the chemoattractant (as proxy of chemoattractant receptor's binding site radius); </w:t>
      </w:r>
      <m:oMath>
        <m:r>
          <m:rPr>
            <m:sty m:val="p"/>
          </m:rPr>
          <w:rPr>
            <w:rFonts w:ascii="Cambria Math" w:hAnsi="Cambria Math"/>
          </w:rPr>
          <m:t>Δt</m:t>
        </m:r>
      </m:oMath>
      <w:r w:rsidRPr="00814E67">
        <w:t xml:space="preserve"> sampling time (time to swim half the circumference in the boundary close to the water-glass interface); </w:t>
      </w:r>
      <w:r w:rsidRPr="00814E67">
        <w:rPr>
          <w:i/>
          <w:color w:val="8496B0" w:themeColor="text2" w:themeTint="99"/>
        </w:rPr>
        <w:t>v</w:t>
      </w:r>
      <w:r w:rsidRPr="00814E67">
        <w:rPr>
          <w:color w:val="8496B0" w:themeColor="text2" w:themeTint="99"/>
        </w:rPr>
        <w:t xml:space="preserve"> mean linear speed of the spermatozoa, i.e.</w:t>
      </w:r>
      <m:oMath>
        <m:r>
          <m:rPr>
            <m:sty m:val="bi"/>
          </m:rPr>
          <w:rPr>
            <w:rStyle w:val="Fuentedeprrafopredeter1"/>
            <w:rFonts w:ascii="Cambria Math" w:hAnsi="Cambria Math"/>
            <w:color w:val="8496B0" w:themeColor="text2" w:themeTint="99"/>
          </w:rPr>
          <m:t xml:space="preserve"> </m:t>
        </m:r>
        <m:r>
          <w:rPr>
            <w:rStyle w:val="Fuentedeprrafopredeter1"/>
            <w:rFonts w:ascii="Cambria Math" w:hAnsi="Cambria Math"/>
            <w:color w:val="8496B0" w:themeColor="text2" w:themeTint="99"/>
          </w:rPr>
          <m:t>∆</m:t>
        </m:r>
      </m:oMath>
      <w:r w:rsidRPr="00814E67">
        <w:rPr>
          <w:rStyle w:val="Fuentedeprrafopredeter1"/>
          <w:bCs/>
          <w:i/>
          <w:iCs/>
          <w:color w:val="8496B0" w:themeColor="text2" w:themeTint="99"/>
        </w:rPr>
        <w:t>r/</w:t>
      </w:r>
      <m:oMath>
        <m:r>
          <w:rPr>
            <w:rStyle w:val="Fuentedeprrafopredeter1"/>
            <w:rFonts w:ascii="Cambria Math" w:hAnsi="Cambria Math"/>
            <w:color w:val="8496B0" w:themeColor="text2" w:themeTint="99"/>
          </w:rPr>
          <m:t>∆</m:t>
        </m:r>
        <m:r>
          <m:rPr>
            <m:sty m:val="p"/>
          </m:rPr>
          <w:rPr>
            <w:rStyle w:val="Fuentedeprrafopredeter1"/>
            <w:rFonts w:ascii="Cambria Math" w:hAnsi="Cambria Math"/>
            <w:color w:val="8496B0" w:themeColor="text2" w:themeTint="99"/>
          </w:rPr>
          <m:t>t</m:t>
        </m:r>
      </m:oMath>
      <w:r w:rsidRPr="00814E67">
        <w:rPr>
          <w:color w:val="8496B0" w:themeColor="text2" w:themeTint="99"/>
        </w:rPr>
        <w:t xml:space="preserve">; </w:t>
      </w:r>
      <m:oMath>
        <m:r>
          <w:rPr>
            <w:rStyle w:val="Fuentedeprrafopredeter1"/>
            <w:rFonts w:ascii="Cambria Math" w:hAnsi="Cambria Math"/>
            <w:color w:val="8496B0" w:themeColor="text2" w:themeTint="99"/>
          </w:rPr>
          <m:t>∆</m:t>
        </m:r>
        <m:r>
          <w:rPr>
            <w:rStyle w:val="Fuentedeprrafopredeter1"/>
            <w:rFonts w:ascii="Cambria Math" w:eastAsiaTheme="minorEastAsia" w:hAnsi="Cambria Math"/>
            <w:color w:val="8496B0" w:themeColor="text2" w:themeTint="99"/>
          </w:rPr>
          <m:t>r</m:t>
        </m:r>
      </m:oMath>
      <w:r w:rsidRPr="00814E67">
        <w:rPr>
          <w:color w:val="8496B0" w:themeColor="text2" w:themeTint="99"/>
        </w:rPr>
        <w:t xml:space="preserve"> </w:t>
      </w:r>
      <w:r w:rsidRPr="00814E67">
        <w:rPr>
          <w:rStyle w:val="Fuentedeprrafopredeter1"/>
          <w:color w:val="8496B0" w:themeColor="text2" w:themeTint="99"/>
        </w:rPr>
        <w:t xml:space="preserve">sampling distance (circumference diameter); </w:t>
      </w:r>
      <w:r w:rsidRPr="00814E67">
        <w:rPr>
          <w:rStyle w:val="Fuentedeprrafopredeter1"/>
          <w:i/>
          <w:color w:val="000000" w:themeColor="text1"/>
        </w:rPr>
        <w:t>L</w:t>
      </w:r>
      <w:r w:rsidRPr="00814E67">
        <w:rPr>
          <w:rStyle w:val="Fuentedeprrafopredeter1"/>
          <w:color w:val="000000" w:themeColor="text1"/>
        </w:rPr>
        <w:t xml:space="preserve"> length of sperm flagellum; </w:t>
      </w:r>
      <w:r w:rsidRPr="00814E67">
        <w:rPr>
          <w:rStyle w:val="Fuentedeprrafopredeter1"/>
          <w:i/>
          <w:color w:val="000000" w:themeColor="text1"/>
        </w:rPr>
        <w:t>a</w:t>
      </w:r>
      <w:r w:rsidRPr="00814E67">
        <w:rPr>
          <w:rStyle w:val="Fuentedeprrafopredeter1"/>
          <w:color w:val="000000" w:themeColor="text1"/>
        </w:rPr>
        <w:t xml:space="preserve"> spermatozoa radius, assuming that flagella are spheres;</w:t>
      </w:r>
      <w:r w:rsidRPr="00814E67">
        <w:rPr>
          <w:rStyle w:val="Fuentedeprrafopredeter1"/>
          <w:i/>
          <w:iCs/>
          <w:color w:val="000000" w:themeColor="text1"/>
        </w:rPr>
        <w:t xml:space="preserve"> </w:t>
      </w:r>
      <w:r w:rsidRPr="00814E67">
        <w:rPr>
          <w:rStyle w:val="Fuentedeprrafopredeter1"/>
          <w:i/>
          <w:iCs/>
          <w:color w:val="8496B0" w:themeColor="text2" w:themeTint="99"/>
        </w:rPr>
        <w:t>Pe</w:t>
      </w:r>
      <w:r w:rsidRPr="00814E67">
        <w:rPr>
          <w:rStyle w:val="Fuentedeprrafopredeter1"/>
          <w:color w:val="8496B0" w:themeColor="text2" w:themeTint="99"/>
        </w:rPr>
        <w:t xml:space="preserve"> Peclet number for a spherical cell approximation (sphere), or cylindrical flagellum geometry (cylinder).</w:t>
      </w:r>
      <w:r w:rsidRPr="00814E67">
        <w:rPr>
          <w:rStyle w:val="Fuentedeprrafopredeter1"/>
          <w:color w:val="000000" w:themeColor="text1"/>
        </w:rPr>
        <w:t xml:space="preserve"> </w:t>
      </w:r>
      <w:r w:rsidRPr="00814E67">
        <w:rPr>
          <w:rStyle w:val="Fuentedeprrafopredeter1"/>
          <w:color w:val="000000" w:themeColor="text1"/>
          <w:vertAlign w:val="superscript"/>
        </w:rPr>
        <w:t xml:space="preserve">a </w:t>
      </w:r>
      <w:r w:rsidRPr="00814E67">
        <w:rPr>
          <w:rStyle w:val="Fuentedeprrafopredeter1"/>
          <w:color w:val="000000" w:themeColor="text1"/>
        </w:rPr>
        <w:t xml:space="preserve">Measured in this study (mean ± </w:t>
      </w:r>
      <w:proofErr w:type="spellStart"/>
      <w:r w:rsidRPr="00814E67">
        <w:rPr>
          <w:rStyle w:val="Fuentedeprrafopredeter1"/>
          <w:color w:val="000000" w:themeColor="text1"/>
        </w:rPr>
        <w:t>sd</w:t>
      </w:r>
      <w:proofErr w:type="spellEnd"/>
      <w:r w:rsidRPr="00814E67">
        <w:rPr>
          <w:rStyle w:val="Fuentedeprrafopredeter1"/>
          <w:color w:val="000000" w:themeColor="text1"/>
        </w:rPr>
        <w:t xml:space="preserve">); </w:t>
      </w:r>
      <w:r w:rsidRPr="00814E67">
        <w:rPr>
          <w:rStyle w:val="Fuentedeprrafopredeter1"/>
          <w:color w:val="000000" w:themeColor="text1"/>
        </w:rPr>
        <w:lastRenderedPageBreak/>
        <w:t xml:space="preserve">N = 3 sea </w:t>
      </w:r>
      <w:r w:rsidRPr="00814E67">
        <w:rPr>
          <w:rStyle w:val="Fuentedeprrafopredeter1"/>
        </w:rPr>
        <w:t>urchins; n = 495 (</w:t>
      </w:r>
      <w:r w:rsidRPr="00814E67">
        <w:rPr>
          <w:rStyle w:val="Fuentedeprrafopredeter1"/>
          <w:i/>
          <w:iCs/>
        </w:rPr>
        <w:t xml:space="preserve">S. </w:t>
      </w:r>
      <w:proofErr w:type="spellStart"/>
      <w:r w:rsidRPr="00814E67">
        <w:rPr>
          <w:rStyle w:val="Fuentedeprrafopredeter1"/>
          <w:i/>
          <w:iCs/>
        </w:rPr>
        <w:t>purpuratus</w:t>
      </w:r>
      <w:proofErr w:type="spellEnd"/>
      <w:r w:rsidRPr="00814E67">
        <w:rPr>
          <w:rStyle w:val="Fuentedeprrafopredeter1"/>
        </w:rPr>
        <w:t>), n = 56 (</w:t>
      </w:r>
      <w:r w:rsidRPr="00814E67">
        <w:rPr>
          <w:rStyle w:val="Fuentedeprrafopredeter1"/>
          <w:i/>
          <w:iCs/>
        </w:rPr>
        <w:t xml:space="preserve">L. </w:t>
      </w:r>
      <w:proofErr w:type="spellStart"/>
      <w:r w:rsidRPr="00814E67">
        <w:rPr>
          <w:rStyle w:val="Fuentedeprrafopredeter1"/>
          <w:i/>
          <w:iCs/>
        </w:rPr>
        <w:t>pictus</w:t>
      </w:r>
      <w:proofErr w:type="spellEnd"/>
      <w:r w:rsidRPr="00814E67">
        <w:rPr>
          <w:rStyle w:val="Fuentedeprrafopredeter1"/>
        </w:rPr>
        <w:t xml:space="preserve">) spermatozoa. </w:t>
      </w:r>
      <w:r w:rsidRPr="00814E67">
        <w:rPr>
          <w:rStyle w:val="Fuentedeprrafopredeter1"/>
          <w:vertAlign w:val="superscript"/>
        </w:rPr>
        <w:t>b</w:t>
      </w:r>
      <w:r w:rsidRPr="00814E67">
        <w:fldChar w:fldCharType="begin"/>
      </w:r>
      <w:r w:rsidRPr="00814E67">
        <w:instrText>ADDIN EN.CITE</w:instrText>
      </w:r>
      <w:r w:rsidRPr="00814E67">
        <w:fldChar w:fldCharType="end"/>
      </w:r>
      <w:r w:rsidRPr="00814E67">
        <w:fldChar w:fldCharType="begin"/>
      </w:r>
      <w:r w:rsidRPr="00814E67">
        <w:instrText>ADDIN EN.CITE.DATA</w:instrText>
      </w:r>
      <w:r w:rsidRPr="00814E67">
        <w:fldChar w:fldCharType="separate"/>
      </w:r>
      <w:r w:rsidRPr="00814E67">
        <w:rPr>
          <w:rStyle w:val="Fuentedeprrafopredeter1"/>
        </w:rPr>
        <w:t xml:space="preserve"> </w:t>
      </w:r>
      <w:r w:rsidRPr="00814E67">
        <w:rPr>
          <w:rStyle w:val="Fuentedeprrafopredeter1"/>
        </w:rPr>
        <w:fldChar w:fldCharType="begin" w:fldLock="1"/>
      </w:r>
      <w:r w:rsidRPr="00814E67">
        <w:rPr>
          <w:rStyle w:val="Fuentedeprrafopredeter1"/>
        </w:rPr>
        <w:instrText>ADDIN CSL_CITATION {"citationItems":[{"id":"ITEM-1","itemData":{"DOI":"10.1006/bbrc.2001.5000","ISSN":"0006-291X","PMID":"11394914","abstract":"Speract, a decapeptide from sea urchin egg jelly, induces various sperm responses. Stopped-flow fluorometry was used to examine the binding of labeled speract and the intracellular changes in pH (pH(i)) and Ca2+ ([Ca2+]i) it induces in sperm. We observed significant time delays for the increase in pH(i) and [Ca2+]i induced by 200 nM speract (69 and 190 ms, respectively). Also, we found that the receptor undergoes a pH(i)-dependent affinity change at around 129 ms. These time delays probably reflect biochemical processes underlying each sperm response to speract that circumscribe the time sequence of the signaling events.","author":[{"dropping-particle":"","family":"Nishigaki","given":"Takuya","non-dropping-particle":"","parse-names":false,"suffix":""},{"dropping-particle":"","family":"Zamudio","given":"Fernando Z.","non-dropping-particle":"","parse-names":false,"suffix":""},{"dropping-particle":"","family":"Possani","given":"Lourival D.","non-dropping-particle":"","parse-names":false,"suffix":""},{"dropping-particle":"","family":"Darszon","given":"Alberto","non-dropping-particle":"","parse-names":false,"suffix":""}],"container-title":"Biochemical and biophysical research communications","id":"ITEM-1","issue":"2","issued":{"date-parts":[["2001","7","8"]]},"note":"From Duplicate 1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a)\n\nFrom Duplicate 1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File\n\nFrom Duplicate 2 (Time-Resolved Sperm Responses to an Egg Peptide Measured by Stopped-Flow Fluorometry - Nishigaki, Takuya; Zamudio, Fernando Z.; Possani, Lourival D.; Darszon, Alberto)\n\nFrom Duplicate 1 (Time-resolved sperm responses to an egg peptide measured by stopped-flow fluorometry. - Nishigaki, T; Zamudio, F Z; Possani, L D; Darszon, a)\n\nFrom Duplicate 1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File\n\nFrom Duplicate 2 (Time-Resolved Sperm Responses to an Egg Peptide Measured by Stopped-Flow Fluorometry - Nishigaki, Takuya; Zamudio, Fernando Z.; Possani, Lourival D.; Darszon, Alberto)\n\nFrom Duplicate 1 (Time-Resolved Sperm Responses to an Egg Peptide Measured by Stopped-Flow Fluorometry - Nishigaki, Takuya; Zamudio, Fernando Z.; Possani, Lourival D.; Darszon, Alberto)\n\nFrom Duplicate 1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File\n\nFrom Duplicate 2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a)\n\nFrom Duplicate 1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File\n\nFrom Duplicate 2 (Time-Resolved Sperm Responses to an Egg Peptide Measured by Stopped-Flow Fluorometry - Nishigaki, Takuya; Zamudio, Fernando Z.; Possani, Lourival D.; Darszon, Alberto)\n\nFrom Duplicate 1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File\n\nFrom Duplicate 2 (Time-Resolved Sperm Responses to an Egg Peptide Measured by Stopped-Flow Fluorometry - Nishigaki, Takuya; Zamudio, Fernando Z.; Possani, Lourival D.; Darszon, Alberto)\n\nFrom Duplicate 1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File\n\nFrom Duplicate 2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a)\n\nFrom Duplicate 1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File\n\nFrom Duplicate 3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a)\n\nFrom Duplicate 1 (Time-resolved sperm responses to an egg peptide measured by stopped-flow fluorometry. - Nishigaki, T; Zamudio, F Z; Possani, L D; Darszon, a)\n\nFrom Duplicate 2 (Time-resolved sperm responses to an egg peptide measured by stopped-flow fluorometry - Nishigaki, T; Zamudio, F Z; Possani, L D; Darszon, A)\n\nDepartamento de Genetica y Fisiologia Molecular, Universidad Nacional Autonoma de Mexico, Cuernavaca, Morelos, 62250, MexicoFAU - Nishigaki, T\nRefMgr field[1]: Journal\nRefMgr field[8]: Not in File","page":"531-5","title":"Time-resolved sperm responses to an egg peptide measured by stopped-flow fluorometry.","type":"article-journal","volume":"284"},"uris":["http://www.mendeley.com/documents/?uuid=09132f7b-db5f-4e30-9aa5-e156e376c3a9"]},{"id":"ITEM-2","itemData":{"DOI":"10.1006/dbio.2000.9734","ISBN":"0012-1606 (Print)","ISSN":"00121606","PMID":"10864457","abstract":"Lytechinus pictus sea urchin sperm express receptors for speract, a sperm-activating peptide derived from the homologous egg jelly coat. We found that the fluorescence of fluorophore-labeled, active, speract analogs is quenched upon receptor binding. This property allowed us to perform real-time measurements of speract-receptor interactions using intact sperm and to determine, for the first time, their association (k(on)) and dissociation (k(off)) rate constants. The high k(on) (2.4 x 10(7) M(-1 )s(-1)) and low k(off) (4.4 x 10(-6) s(-1) (95%) and 3.7 x 10(-4) s(-1) (5%)) can account for the sperm response to picomolar concentrations of speract. We also examined the influence of extracellular ions on speract-receptor interactions using the fluorescence quenching method described in this study. The association rate of speract to the receptor is dramatically reduced in Na(+)-free seawater (NaFSW), divalent cation-free seawater (DCFSW), and high-K(+) seawater (HKSW). In seawater speract induces an increase in intracellular pH (pHi), while it is unable to do so in either NaFSW or HKSW. To test if the lack of this pHi change causes the reduction in the speract association rate, pHi was increased with NH(4)Cl (10 mM) at the time labeled speract was added. Interestingly, this procedure completely (in HKSW) or partially (in NaFSW and DCFSW) restored the speract association rate to its receptor. These findings indicate that an increase in sperm pHi positively affects the receptor binding activity for this peptide and may partially explain the positive binding cooperativity displayed by the speract receptor.","author":[{"dropping-particle":"","family":"Nishigaki","given":"Takuya","non-dropping-particle":"","parse-names":false,"suffix":""},{"dropping-particle":"","family":"Darszon","given":"Alberto","non-dropping-particle":"","parse-names":false,"suffix":""}],"container-title":"Developmental Biology","id":"ITEM-2","issue":"1","issued":{"date-parts":[["2000","7","1"]]},"page":"17-26","title":"Real-Time Measurements of the Interactions between Fluorescent Speract and Its Sperm Receptor","type":"article-journal","volume":"223"},"uris":["http://www.mendeley.com/documents/?uuid=8d38a84e-a093-4ed1-99c8-e6cd4d0ffd83"]}],"mendeley":{"formattedCitation":"(Nishigaki et al., 2001; Nishigaki and Darszon, 2000)","manualFormatting":"Nishigaki et al., 2001; Nishigaki and Darszon, 2000.","plainTextFormattedCitation":"(Nishigaki et al., 2001; Nishigaki and Darszon, 2000)","previouslyFormattedCitation":"(Nishigaki et al., 2001; Nishigaki and Darszon, 2000)"},"properties":{"noteIndex":0},"schema":"https://github.com/citation-style-language/schema/raw/master/csl-citation.json"}</w:instrText>
      </w:r>
      <w:r w:rsidRPr="00814E67">
        <w:rPr>
          <w:rStyle w:val="Fuentedeprrafopredeter1"/>
        </w:rPr>
        <w:fldChar w:fldCharType="separate"/>
      </w:r>
      <w:r w:rsidRPr="00814E67">
        <w:rPr>
          <w:rStyle w:val="Fuentedeprrafopredeter1"/>
          <w:noProof/>
        </w:rPr>
        <w:t>Nishigaki et al., 2001; Nishigaki and Darszon, 2000.</w:t>
      </w:r>
      <w:r w:rsidRPr="00814E67">
        <w:rPr>
          <w:rStyle w:val="Fuentedeprrafopredeter1"/>
        </w:rPr>
        <w:fldChar w:fldCharType="end"/>
      </w:r>
      <w:r w:rsidRPr="00814E67" w:rsidDel="00960728">
        <w:rPr>
          <w:rStyle w:val="Fuentedeprrafopredeter1"/>
        </w:rPr>
        <w:t xml:space="preserve"> </w:t>
      </w:r>
      <w:r w:rsidRPr="00814E67">
        <w:fldChar w:fldCharType="end"/>
      </w:r>
      <w:r w:rsidRPr="00814E67">
        <w:rPr>
          <w:rStyle w:val="Fuentedeprrafopredeter1"/>
          <w:vertAlign w:val="superscript"/>
        </w:rPr>
        <w:t>c</w:t>
      </w:r>
      <w:r w:rsidRPr="00814E67">
        <w:rPr>
          <w:rStyle w:val="Fuentedeprrafopredeter1"/>
        </w:rPr>
        <w:t xml:space="preserve"> Calculated in this study (see section </w:t>
      </w:r>
      <w:r w:rsidRPr="00814E67">
        <w:rPr>
          <w:rStyle w:val="Fuentedeprrafopredeter1"/>
          <w:b/>
          <w:bCs/>
          <w:i/>
          <w:color w:val="000000" w:themeColor="text1"/>
        </w:rPr>
        <w:t xml:space="preserve">1.1. </w:t>
      </w:r>
      <w:r w:rsidRPr="00814E67">
        <w:rPr>
          <w:rStyle w:val="Fuentedeprrafopredeter1"/>
          <w:b/>
          <w:bCs/>
          <w:i/>
        </w:rPr>
        <w:t xml:space="preserve">On the estimate of maximal </w:t>
      </w:r>
      <w:r w:rsidRPr="00814E67">
        <w:rPr>
          <w:b/>
          <w:i/>
          <w:shd w:val="clear" w:color="auto" w:fill="FFFFFF"/>
        </w:rPr>
        <w:t xml:space="preserve">chemoattractant </w:t>
      </w:r>
      <w:r w:rsidRPr="00814E67">
        <w:rPr>
          <w:rStyle w:val="Fuentedeprrafopredeter1"/>
          <w:b/>
          <w:bCs/>
          <w:i/>
        </w:rPr>
        <w:t>absorption</w:t>
      </w:r>
      <w:r w:rsidRPr="00814E67">
        <w:rPr>
          <w:rStyle w:val="Fuentedeprrafopredeter1"/>
        </w:rPr>
        <w:t xml:space="preserve">). </w:t>
      </w:r>
      <w:r w:rsidRPr="00814E67">
        <w:rPr>
          <w:rStyle w:val="Fuentedeprrafopredeter1"/>
          <w:color w:val="000000" w:themeColor="text1"/>
          <w:vertAlign w:val="superscript"/>
        </w:rPr>
        <w:t>d</w:t>
      </w:r>
      <w:r w:rsidRPr="00814E67">
        <w:rPr>
          <w:rStyle w:val="Fuentedeprrafopredeter1"/>
          <w:color w:val="000000" w:themeColor="text1"/>
        </w:rPr>
        <w:t xml:space="preserve"> Measured in this study (mean ± </w:t>
      </w:r>
      <w:proofErr w:type="spellStart"/>
      <w:r w:rsidRPr="00814E67">
        <w:rPr>
          <w:rStyle w:val="Fuentedeprrafopredeter1"/>
          <w:color w:val="000000" w:themeColor="text1"/>
        </w:rPr>
        <w:t>sd</w:t>
      </w:r>
      <w:proofErr w:type="spellEnd"/>
      <w:r w:rsidRPr="00814E67">
        <w:rPr>
          <w:rStyle w:val="Fuentedeprrafopredeter1"/>
          <w:color w:val="000000" w:themeColor="text1"/>
        </w:rPr>
        <w:t xml:space="preserve">); N = 1 sea </w:t>
      </w:r>
      <w:r w:rsidRPr="00814E67">
        <w:rPr>
          <w:rStyle w:val="Fuentedeprrafopredeter1"/>
        </w:rPr>
        <w:t>urchin; n = 26 (</w:t>
      </w:r>
      <w:r w:rsidRPr="00814E67">
        <w:rPr>
          <w:rStyle w:val="Fuentedeprrafopredeter1"/>
          <w:i/>
          <w:iCs/>
        </w:rPr>
        <w:t xml:space="preserve">S. </w:t>
      </w:r>
      <w:proofErr w:type="spellStart"/>
      <w:r w:rsidRPr="00814E67">
        <w:rPr>
          <w:rStyle w:val="Fuentedeprrafopredeter1"/>
          <w:i/>
          <w:iCs/>
        </w:rPr>
        <w:t>purpuratus</w:t>
      </w:r>
      <w:proofErr w:type="spellEnd"/>
      <w:r w:rsidRPr="00814E67">
        <w:rPr>
          <w:rStyle w:val="Fuentedeprrafopredeter1"/>
        </w:rPr>
        <w:t>), n = 39 (</w:t>
      </w:r>
      <w:r w:rsidRPr="00814E67">
        <w:rPr>
          <w:rStyle w:val="Fuentedeprrafopredeter1"/>
          <w:i/>
          <w:iCs/>
        </w:rPr>
        <w:t xml:space="preserve">L. </w:t>
      </w:r>
      <w:proofErr w:type="spellStart"/>
      <w:r w:rsidRPr="00814E67">
        <w:rPr>
          <w:rStyle w:val="Fuentedeprrafopredeter1"/>
          <w:i/>
          <w:iCs/>
        </w:rPr>
        <w:t>pictus</w:t>
      </w:r>
      <w:proofErr w:type="spellEnd"/>
      <w:r w:rsidRPr="00814E67">
        <w:rPr>
          <w:rStyle w:val="Fuentedeprrafopredeter1"/>
        </w:rPr>
        <w:t xml:space="preserve">) spermatozoa. </w:t>
      </w:r>
      <w:r w:rsidRPr="00814E67">
        <w:rPr>
          <w:rStyle w:val="Fuentedeprrafopredeter1"/>
          <w:vertAlign w:val="superscript"/>
        </w:rPr>
        <w:t>e</w:t>
      </w:r>
      <w:r w:rsidRPr="00814E67">
        <w:rPr>
          <w:rStyle w:val="Fuentedeprrafopredeter1"/>
        </w:rPr>
        <w:t xml:space="preserve"> </w:t>
      </w:r>
      <w:r w:rsidRPr="00814E67">
        <w:rPr>
          <w:rStyle w:val="Fuentedeprrafopredeter1"/>
        </w:rPr>
        <w:fldChar w:fldCharType="begin" w:fldLock="1"/>
      </w:r>
      <w:r w:rsidRPr="00814E67">
        <w:rPr>
          <w:rStyle w:val="Fuentedeprrafopredeter1"/>
        </w:rPr>
        <w:instrText>ADDIN CSL_CITATION {"citationItems":[{"id":"ITEM-1","itemData":{"DOI":"10.1083/jcb.201204024","ISBN":"1540-8140 (Electronic) 0021-9525 (Linking)","ISSN":"00219525","PMID":"22986497","abstract":"Sperm, navigating in a chemical gradient, are exposed to a periodic stream of chemoattractant molecules. The periodic stimulation entrains Ca(2+) oscillations that control looping steering responses. It is not known how sperm sample chemoattractant molecules during periodic stimulation and adjust their sensitivity. We report that sea urchin sperm sampled molecules for 0.2-0.6 s before a Ca(2+) response was produced. Additional molecules delivered during a Ca(2+) response reset the cell by causing a pronounced Ca(2+) drop that terminated the response; this reset was followed by a new Ca(2+) rise. After stimulation, sperm adapted their sensitivity following the Weber-Fechner law. Taking into account the single-molecule sensitivity, we estimate that sperm can register a minimal gradient of 0.8 fM/µm and be attracted from as far away as 4.7 mm. Many microorganisms sense stimulus gradients along periodic paths to translate a spatial distribution of the stimulus into a temporal pattern of the cell response. Orchestration of temporal sampling, resetting, and adaptation might control gradient sensing in such organisms as well.","author":[{"dropping-particle":"","family":"Kashikar","given":"Nachiket D.","non-dropping-particle":"","parse-names":false,"suffix":""},{"dropping-particle":"","family":"Alvarez","given":"Luis","non-dropping-particle":"","parse-names":false,"suffix":""},{"dropping-particle":"","family":"Seifert","given":"Reinhard","non-dropping-particle":"","parse-names":false,"suffix":""},{"dropping-particle":"","family":"Gregor","given":"Ingo","non-dropping-particle":"","parse-names":false,"suffix":""},{"dropping-particle":"","family":"Jäckle","given":"Oliver","non-dropping-particle":"","parse-names":false,"suffix":""},{"dropping-particle":"","family":"Beyermann","given":"Michael","non-dropping-particle":"","parse-names":false,"suffix":""},{"dropping-particle":"","family":"Krause","given":"Eberhard","non-dropping-particle":"","parse-names":false,"suffix":""},{"dropping-particle":"","family":"Kaupp","given":"U Benjamin","non-dropping-particle":"","parse-names":false,"suffix":""},{"dropping-particle":"","family":"Benjamin Kaupp","given":"U.","non-dropping-particle":"","parse-names":false,"suffix":""}],"container-title":"Journal of Cell Biology","id":"ITEM-1","issue":"6","issued":{"date-parts":[["2012","9","17"]]},"note":"From Duplicate 2 (Temporal sampling, resetting, and adaptation orchestrate gradient sensing in sperm - Kashikar, Nachiket D.; Alvarez, Luis; Seifert, Reinhard; Gregor, Ingo; Jäckle, Oliver; Beyermann, Michael; Krause, Eberhard; Kaupp, U Benjamin; Benjamin Kaupp, U.)\n\nFrom Duplicate 3 (Temporal sampling, resetting, and adaptation orchestrate gradient sensing in sperm - Kashikar, Nachiket D.; Alvarez, Luis; Seifert, Reinhard; Gregor, Ingo; Jäckle, Oliver; Beyermann, Michael; Krause, Eberhard; Kaupp, U Benjamin)\n\nFrom Duplicate 2 (Temporal sampling, resetting, and adaptation orchestrate gradient sensing in sperm - Kashikar, Nachiket D.; Alvarez, Luis; Seifert, Reinhard; Gregor, Ingo; Jäckle, Oliver; Beyermann, Michael; Krause, Eberhard; Kaupp, U Benjamin)\n\nFrom Duplicate 2 ( \n\n\nTemporal sampling, resetting, and adaptation orchestrate gradient sensing in sperm.\n\n\n- Kashikar, Nachiket D; Alvarez, Luis; Seifert, Reinhard; Gregor, Ingo; Jäckle, Oliver; Beyermann, Michael; Krause, Eberhard; Kaupp, U Benjamin )\n\n","page":"1075-1091","title":"Temporal sampling, resetting, and adaptation orchestrate gradient sensing in sperm","type":"article-journal","volume":"198"},"uris":["http://www.mendeley.com/documents/?uuid=d089ddb7-942d-4db7-9cf9-37764b5ddae0"]}],"mendeley":{"formattedCitation":"(Kashikar et al., 2012)","manualFormatting":"Kashikar et al., 2012","plainTextFormattedCitation":"(Kashikar et al., 2012)","previouslyFormattedCitation":"(Kashikar et al., 2012)"},"properties":{"noteIndex":0},"schema":"https://github.com/citation-style-language/schema/raw/master/csl-citation.json"}</w:instrText>
      </w:r>
      <w:r w:rsidRPr="00814E67">
        <w:rPr>
          <w:rStyle w:val="Fuentedeprrafopredeter1"/>
        </w:rPr>
        <w:fldChar w:fldCharType="separate"/>
      </w:r>
      <w:r w:rsidRPr="00814E67">
        <w:rPr>
          <w:rStyle w:val="Fuentedeprrafopredeter1"/>
          <w:noProof/>
        </w:rPr>
        <w:t>Kashikar et al., 2012</w:t>
      </w:r>
      <w:r w:rsidRPr="00814E67">
        <w:rPr>
          <w:rStyle w:val="Fuentedeprrafopredeter1"/>
        </w:rPr>
        <w:fldChar w:fldCharType="end"/>
      </w:r>
      <w:r w:rsidRPr="00814E67">
        <w:rPr>
          <w:rStyle w:val="Fuentedeprrafopredeter1"/>
        </w:rPr>
        <w:t xml:space="preserve">. </w:t>
      </w:r>
      <w:r w:rsidRPr="00814E67">
        <w:rPr>
          <w:rStyle w:val="Fuentedeprrafopredeter1"/>
          <w:vertAlign w:val="superscript"/>
        </w:rPr>
        <w:t>f</w:t>
      </w:r>
      <w:r w:rsidRPr="00814E67">
        <w:rPr>
          <w:rStyle w:val="Fuentedeprrafopredeter1"/>
        </w:rPr>
        <w:t xml:space="preserve"> </w:t>
      </w:r>
      <w:r w:rsidRPr="00814E67">
        <w:rPr>
          <w:rStyle w:val="Fuentedeprrafopredeter1"/>
        </w:rPr>
        <w:fldChar w:fldCharType="begin" w:fldLock="1"/>
      </w:r>
      <w:r w:rsidRPr="00814E67">
        <w:rPr>
          <w:rStyle w:val="Fuentedeprrafopredeter1"/>
        </w:rPr>
        <w:instrText>ADDIN CSL_CITATION {"citationItems":[{"id":"ITEM-1","itemData":{"DOI":"10.1083/jcb.201402027","ISBN":"0021-9525","ISSN":"0021-9525","PMID":"25135936","abstract":"Guanylyl cyclases (GCs), which synthesize the messenger cyclic guanosine 3',5'-monophosphate, control several sensory functions, such as phototransduction, chemosensation, and thermosensation, in many species from worms to mammals. The GC chemoreceptor in sea urchin sperm can decode chemoattractant concentrations with single-molecule sensitivity. The molecular and cellular underpinnings of such ultrasensitivity are not known for any eukaryotic chemoreceptor. In this paper, we show that an exquisitely high density of 3 × 10(5) GC chemoreceptors and subnanomolar ligand affinity provide a high ligand-capture efficacy and render sperm perfect absorbers. The GC activity is terminated within 150 ms by dephosphorylation steps of the receptor, which provides a means for precise control of the GC lifetime and which reduces \"molecule noise.\" Compared with other ultrasensitive sensory systems, the 10-fold signal amplification by the GC receptor is surprisingly low. The hallmarks of this signaling mechanism provide a blueprint for chemical sensing in small compartments, such as olfactory cilia, insect antennae, or even synaptic boutons.","author":[{"dropping-particle":"","family":"Pichlo","given":"Magdalena","non-dropping-particle":"","parse-names":false,"suffix":""},{"dropping-particle":"","family":"Bungert-Plümke","given":"Stefanie","non-dropping-particle":"","parse-names":false,"suffix":""},{"dropping-particle":"","family":"Weyand","given":"Ingo","non-dropping-particle":"","parse-names":false,"suffix":""},{"dropping-particle":"","family":"Seifert","given":"Reinhard","non-dropping-particle":"","parse-names":false,"suffix":""},{"dropping-particle":"","family":"Bönigk","given":"Wolfgang","non-dropping-particle":"","parse-names":false,"suffix":""},{"dropping-particle":"","family":"Strünker","given":"Timo","non-dropping-particle":"","parse-names":false,"suffix":""},{"dropping-particle":"","family":"Kashikar","given":"Nachiket Dilip","non-dropping-particle":"","parse-names":false,"suffix":""},{"dropping-particle":"","family":"Goodwin","given":"Normann","non-dropping-particle":"","parse-names":false,"suffix":""},{"dropping-particle":"","family":"Müller","given":"Astrid","non-dropping-particle":"","parse-names":false,"suffix":""},{"dropping-particle":"","family":"Körschen","given":"Heinz G.","non-dropping-particle":"","parse-names":false,"suffix":""},{"dropping-particle":"","family":"Collienne","given":"Ursel","non-dropping-particle":"","parse-names":false,"suffix":""},{"dropping-particle":"","family":"Pelzer","given":"Patric","non-dropping-particle":"","parse-names":false,"suffix":""},{"dropping-particle":"","family":"Van","given":"Qui","non-dropping-particle":"","parse-names":false,"suffix":""},{"dropping-particle":"","family":"Enderlein","given":"Jörg","non-dropping-particle":"","parse-names":false,"suffix":""},{"dropping-particle":"","family":"Klemm","given":"Clementine","non-dropping-particle":"","parse-names":false,"suffix":""},{"dropping-particle":"","family":"Krause","given":"Eberhard","non-dropping-particle":"","parse-names":false,"suffix":""},{"dropping-particle":"","family":"Trötschel","given":"Christian","non-dropping-particle":"","parse-names":false,"suffix":""},{"dropping-particle":"","family":"Poetsch","given":"Ansgar","non-dropping-particle":"","parse-names":false,"suffix":""},{"dropping-particle":"","family":"Kremmer","given":"Elisabeth","non-dropping-particle":"","parse-names":false,"suffix":""},{"dropping-particle":"","family":"Kaupp","given":"U. Benjamin","non-dropping-particle":"","parse-names":false,"suffix":""}],"container-title":"The Journal of Cell Biology","id":"ITEM-1","issue":"4","issued":{"date-parts":[["2014","8","18"]]},"page":"541-557","title":"High density and ligand affinity confer ultrasensitive signal detection by a guanylyl cyclase chemoreceptor","type":"article-journal","volume":"206"},"uris":["http://www.mendeley.com/documents/?uuid=3fed2b97-a46e-4352-b83c-7a99a5cedc35"]}],"mendeley":{"formattedCitation":"(Pichlo et al., 2014)","manualFormatting":"Pichlo et al., 2014","plainTextFormattedCitation":"(Pichlo et al., 2014)","previouslyFormattedCitation":"(Pichlo et al., 2014)"},"properties":{"noteIndex":0},"schema":"https://github.com/citation-style-language/schema/raw/master/csl-citation.json"}</w:instrText>
      </w:r>
      <w:r w:rsidRPr="00814E67">
        <w:rPr>
          <w:rStyle w:val="Fuentedeprrafopredeter1"/>
        </w:rPr>
        <w:fldChar w:fldCharType="separate"/>
      </w:r>
      <w:r w:rsidRPr="00814E67">
        <w:rPr>
          <w:rStyle w:val="Fuentedeprrafopredeter1"/>
          <w:noProof/>
        </w:rPr>
        <w:t>Pichlo et al., 2014</w:t>
      </w:r>
      <w:r w:rsidRPr="00814E67">
        <w:rPr>
          <w:rStyle w:val="Fuentedeprrafopredeter1"/>
        </w:rPr>
        <w:fldChar w:fldCharType="end"/>
      </w:r>
      <w:r w:rsidRPr="00814E67">
        <w:rPr>
          <w:rStyle w:val="Fuentedeprrafopredeter1"/>
        </w:rPr>
        <w:t xml:space="preserve"> reported 6.5 x 10</w:t>
      </w:r>
      <w:r w:rsidRPr="00814E67">
        <w:rPr>
          <w:rStyle w:val="Fuentedeprrafopredeter1"/>
          <w:vertAlign w:val="superscript"/>
        </w:rPr>
        <w:t>-8</w:t>
      </w:r>
      <w:r w:rsidRPr="00814E67">
        <w:rPr>
          <w:rStyle w:val="Fuentedeprrafopredeter1"/>
        </w:rPr>
        <w:t xml:space="preserve"> cm for the </w:t>
      </w:r>
      <w:proofErr w:type="spellStart"/>
      <w:r w:rsidRPr="00814E67">
        <w:rPr>
          <w:rStyle w:val="Fuentedeprrafopredeter1"/>
        </w:rPr>
        <w:t>resact</w:t>
      </w:r>
      <w:proofErr w:type="spellEnd"/>
      <w:r w:rsidRPr="00814E67">
        <w:rPr>
          <w:rStyle w:val="Fuentedeprrafopredeter1"/>
        </w:rPr>
        <w:t xml:space="preserve"> radius. </w:t>
      </w:r>
      <w:r w:rsidRPr="00814E67">
        <w:rPr>
          <w:rStyle w:val="Fuentedeprrafopredeter1"/>
          <w:color w:val="8496B0" w:themeColor="text2" w:themeTint="99"/>
          <w:vertAlign w:val="superscript"/>
        </w:rPr>
        <w:t>g</w:t>
      </w:r>
      <w:r w:rsidRPr="00814E67">
        <w:rPr>
          <w:rStyle w:val="Fuentedeprrafopredeter1"/>
          <w:color w:val="8496B0" w:themeColor="text2" w:themeTint="99"/>
        </w:rPr>
        <w:t xml:space="preserve"> Calculated in this study.</w:t>
      </w:r>
    </w:p>
    <w:p w14:paraId="4E5CE3EA" w14:textId="77777777" w:rsidR="004572C3" w:rsidRDefault="004572C3"/>
    <w:sectPr w:rsidR="004572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10"/>
    <w:rsid w:val="00350F4A"/>
    <w:rsid w:val="004572C3"/>
    <w:rsid w:val="00AD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FA1A"/>
  <w15:chartTrackingRefBased/>
  <w15:docId w15:val="{6A9AD128-2134-4175-AFA1-A8C112FB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371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qFormat/>
    <w:rsid w:val="00AD3710"/>
    <w:rPr>
      <w:lang w:val="en-US"/>
    </w:rPr>
  </w:style>
  <w:style w:type="table" w:customStyle="1" w:styleId="NormalTable0">
    <w:name w:val="Normal Table0"/>
    <w:rsid w:val="00AD37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Contenidodelmarco">
    <w:name w:val="Contenido del marco"/>
    <w:qFormat/>
    <w:rsid w:val="00AD371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4"/>
      <w:szCs w:val="24"/>
      <w:u w:color="00000A"/>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3289</Words>
  <Characters>18093</Characters>
  <Application>Microsoft Office Word</Application>
  <DocSecurity>0</DocSecurity>
  <Lines>150</Lines>
  <Paragraphs>42</Paragraphs>
  <ScaleCrop>false</ScaleCrop>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Ramírez</dc:creator>
  <cp:keywords/>
  <dc:description/>
  <cp:lastModifiedBy>Héctor Ramírez</cp:lastModifiedBy>
  <cp:revision>1</cp:revision>
  <dcterms:created xsi:type="dcterms:W3CDTF">2020-01-21T18:28:00Z</dcterms:created>
  <dcterms:modified xsi:type="dcterms:W3CDTF">2020-01-21T18:30:00Z</dcterms:modified>
</cp:coreProperties>
</file>