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both"/>
        <w:rPr/>
      </w:pPr>
      <w:r>
        <w:rPr>
          <w:b/>
        </w:rPr>
        <w:t>Supplementary Table 2</w:t>
      </w:r>
      <w:bookmarkStart w:id="0" w:name="_GoBack"/>
      <w:bookmarkEnd w:id="0"/>
      <w:r>
        <w:rPr>
          <w:b/>
        </w:rPr>
        <w:t>. Association between gray matter volumes in vulnerable regions to Alzheimer’s disease with the amyloid-β and tau networks SUVRs</w:t>
      </w:r>
    </w:p>
    <w:tbl>
      <w:tblPr>
        <w:tblStyle w:val="TableGrid"/>
        <w:tblW w:w="14175" w:type="dxa"/>
        <w:jc w:val="left"/>
        <w:tblInd w:w="0" w:type="dxa"/>
        <w:tblCellMar>
          <w:top w:w="0" w:type="dxa"/>
          <w:left w:w="108" w:type="dxa"/>
          <w:bottom w:w="0" w:type="dxa"/>
          <w:right w:w="108" w:type="dxa"/>
        </w:tblCellMar>
        <w:tblLook w:val="04a0" w:noVBand="1" w:noHBand="0" w:lastColumn="0" w:firstColumn="1" w:lastRow="0" w:firstRow="1"/>
      </w:tblPr>
      <w:tblGrid>
        <w:gridCol w:w="1668"/>
        <w:gridCol w:w="1274"/>
        <w:gridCol w:w="1418"/>
        <w:gridCol w:w="1307"/>
        <w:gridCol w:w="1419"/>
        <w:gridCol w:w="1416"/>
        <w:gridCol w:w="1419"/>
        <w:gridCol w:w="1416"/>
        <w:gridCol w:w="1419"/>
        <w:gridCol w:w="1417"/>
      </w:tblGrid>
      <w:tr>
        <w:trPr/>
        <w:tc>
          <w:tcPr>
            <w:tcW w:w="1668" w:type="dxa"/>
            <w:tcBorders/>
            <w:shd w:color="auto" w:fill="BFBFBF" w:themeFill="background1" w:themeFillShade="bf" w:val="clear"/>
            <w:tcMar>
              <w:left w:w="108" w:type="dxa"/>
            </w:tcMar>
          </w:tcPr>
          <w:p>
            <w:pPr>
              <w:pStyle w:val="Normal"/>
              <w:spacing w:lineRule="auto" w:line="480"/>
              <w:jc w:val="both"/>
              <w:rPr>
                <w:b/>
                <w:b/>
              </w:rPr>
            </w:pPr>
            <w:r>
              <w:rPr>
                <w:b/>
              </w:rPr>
            </w:r>
          </w:p>
        </w:tc>
        <w:tc>
          <w:tcPr>
            <w:tcW w:w="1274" w:type="dxa"/>
            <w:tcBorders/>
            <w:shd w:color="auto" w:fill="BFBFBF" w:themeFill="background1" w:themeFillShade="bf" w:val="clear"/>
            <w:tcMar>
              <w:left w:w="108" w:type="dxa"/>
            </w:tcMar>
          </w:tcPr>
          <w:p>
            <w:pPr>
              <w:pStyle w:val="Normal"/>
              <w:spacing w:lineRule="auto" w:line="480"/>
              <w:jc w:val="center"/>
              <w:rPr/>
            </w:pPr>
            <w:r>
              <w:rPr>
                <w:b/>
              </w:rPr>
              <w:t>amyloid-β IC 2</w:t>
            </w:r>
          </w:p>
        </w:tc>
        <w:tc>
          <w:tcPr>
            <w:tcW w:w="1418" w:type="dxa"/>
            <w:tcBorders/>
            <w:shd w:color="auto" w:fill="BFBFBF" w:themeFill="background1" w:themeFillShade="bf" w:val="clear"/>
            <w:tcMar>
              <w:left w:w="108" w:type="dxa"/>
            </w:tcMar>
          </w:tcPr>
          <w:p>
            <w:pPr>
              <w:pStyle w:val="Normal"/>
              <w:spacing w:lineRule="auto" w:line="480"/>
              <w:jc w:val="center"/>
              <w:rPr/>
            </w:pPr>
            <w:r>
              <w:rPr>
                <w:b/>
              </w:rPr>
              <w:t>amyloid-β IC 3</w:t>
            </w:r>
          </w:p>
        </w:tc>
        <w:tc>
          <w:tcPr>
            <w:tcW w:w="1307" w:type="dxa"/>
            <w:tcBorders/>
            <w:shd w:color="auto" w:fill="BFBFBF" w:themeFill="background1" w:themeFillShade="bf" w:val="clear"/>
            <w:tcMar>
              <w:left w:w="108" w:type="dxa"/>
            </w:tcMar>
          </w:tcPr>
          <w:p>
            <w:pPr>
              <w:pStyle w:val="Normal"/>
              <w:spacing w:lineRule="auto" w:line="480"/>
              <w:jc w:val="center"/>
              <w:rPr/>
            </w:pPr>
            <w:r>
              <w:rPr>
                <w:b/>
              </w:rPr>
              <w:t>amyloid-β IC 4</w:t>
            </w:r>
          </w:p>
        </w:tc>
        <w:tc>
          <w:tcPr>
            <w:tcW w:w="1419" w:type="dxa"/>
            <w:tcBorders/>
            <w:shd w:color="auto" w:fill="BFBFBF" w:themeFill="background1" w:themeFillShade="bf" w:val="clear"/>
            <w:tcMar>
              <w:left w:w="108" w:type="dxa"/>
            </w:tcMar>
          </w:tcPr>
          <w:p>
            <w:pPr>
              <w:pStyle w:val="Normal"/>
              <w:spacing w:lineRule="auto" w:line="480"/>
              <w:jc w:val="center"/>
              <w:rPr/>
            </w:pPr>
            <w:r>
              <w:rPr>
                <w:b/>
              </w:rPr>
              <w:t>amyloid-β IC 5</w:t>
            </w:r>
          </w:p>
        </w:tc>
        <w:tc>
          <w:tcPr>
            <w:tcW w:w="1416" w:type="dxa"/>
            <w:tcBorders/>
            <w:shd w:color="auto" w:fill="BFBFBF" w:themeFill="background1" w:themeFillShade="bf" w:val="clear"/>
            <w:tcMar>
              <w:left w:w="108" w:type="dxa"/>
            </w:tcMar>
          </w:tcPr>
          <w:p>
            <w:pPr>
              <w:pStyle w:val="Normal"/>
              <w:spacing w:lineRule="auto" w:line="480"/>
              <w:jc w:val="center"/>
              <w:rPr/>
            </w:pPr>
            <w:r>
              <w:rPr>
                <w:b/>
              </w:rPr>
              <w:t>amyloid-β IC 6</w:t>
            </w:r>
          </w:p>
        </w:tc>
        <w:tc>
          <w:tcPr>
            <w:tcW w:w="1419" w:type="dxa"/>
            <w:tcBorders/>
            <w:shd w:color="auto" w:fill="BFBFBF" w:themeFill="background1" w:themeFillShade="bf" w:val="clear"/>
            <w:tcMar>
              <w:left w:w="108" w:type="dxa"/>
            </w:tcMar>
          </w:tcPr>
          <w:p>
            <w:pPr>
              <w:pStyle w:val="Normal"/>
              <w:spacing w:lineRule="auto" w:line="480"/>
              <w:jc w:val="center"/>
              <w:rPr/>
            </w:pPr>
            <w:r>
              <w:rPr>
                <w:b/>
              </w:rPr>
              <w:t>amyloid-β IC 7</w:t>
            </w:r>
          </w:p>
        </w:tc>
        <w:tc>
          <w:tcPr>
            <w:tcW w:w="1416" w:type="dxa"/>
            <w:tcBorders/>
            <w:shd w:color="auto" w:fill="BFBFBF" w:themeFill="background1" w:themeFillShade="bf" w:val="clear"/>
            <w:tcMar>
              <w:left w:w="108" w:type="dxa"/>
            </w:tcMar>
          </w:tcPr>
          <w:p>
            <w:pPr>
              <w:pStyle w:val="Normal"/>
              <w:spacing w:lineRule="auto" w:line="480"/>
              <w:jc w:val="center"/>
              <w:rPr/>
            </w:pPr>
            <w:r>
              <w:rPr>
                <w:b/>
              </w:rPr>
              <w:t>amyloid-β IC 8</w:t>
            </w:r>
          </w:p>
        </w:tc>
        <w:tc>
          <w:tcPr>
            <w:tcW w:w="1419" w:type="dxa"/>
            <w:tcBorders/>
            <w:shd w:color="auto" w:fill="BFBFBF" w:themeFill="background1" w:themeFillShade="bf" w:val="clear"/>
            <w:tcMar>
              <w:left w:w="108" w:type="dxa"/>
            </w:tcMar>
          </w:tcPr>
          <w:p>
            <w:pPr>
              <w:pStyle w:val="Normal"/>
              <w:spacing w:lineRule="auto" w:line="480"/>
              <w:jc w:val="center"/>
              <w:rPr/>
            </w:pPr>
            <w:r>
              <w:rPr>
                <w:b/>
              </w:rPr>
              <w:t>amyloid-β IC 10</w:t>
            </w:r>
          </w:p>
        </w:tc>
        <w:tc>
          <w:tcPr>
            <w:tcW w:w="1417" w:type="dxa"/>
            <w:tcBorders/>
            <w:shd w:color="auto" w:fill="BFBFBF" w:themeFill="background1" w:themeFillShade="bf" w:val="clear"/>
            <w:tcMar>
              <w:left w:w="108" w:type="dxa"/>
            </w:tcMar>
          </w:tcPr>
          <w:p>
            <w:pPr>
              <w:pStyle w:val="Normal"/>
              <w:spacing w:lineRule="auto" w:line="480"/>
              <w:jc w:val="center"/>
              <w:rPr/>
            </w:pPr>
            <w:r>
              <w:rPr>
                <w:b/>
              </w:rPr>
              <w:t>amyloid-β IC 11</w:t>
            </w:r>
          </w:p>
        </w:tc>
      </w:tr>
      <w:tr>
        <w:trPr/>
        <w:tc>
          <w:tcPr>
            <w:tcW w:w="1668" w:type="dxa"/>
            <w:tcBorders/>
            <w:shd w:color="auto" w:fill="BFBFBF" w:themeFill="background1" w:themeFillShade="bf" w:val="clear"/>
            <w:tcMar>
              <w:left w:w="108" w:type="dxa"/>
            </w:tcMar>
          </w:tcPr>
          <w:p>
            <w:pPr>
              <w:pStyle w:val="Normal"/>
              <w:spacing w:lineRule="auto" w:line="480"/>
              <w:jc w:val="both"/>
              <w:rPr/>
            </w:pPr>
            <w:r>
              <w:rPr/>
              <w:t>Gray matter volumes</w:t>
            </w:r>
          </w:p>
        </w:tc>
        <w:tc>
          <w:tcPr>
            <w:tcW w:w="1274" w:type="dxa"/>
            <w:tcBorders/>
            <w:shd w:fill="auto" w:val="clear"/>
            <w:tcMar>
              <w:left w:w="108" w:type="dxa"/>
            </w:tcMar>
          </w:tcPr>
          <w:p>
            <w:pPr>
              <w:pStyle w:val="Normal"/>
              <w:spacing w:lineRule="auto" w:line="480"/>
              <w:jc w:val="center"/>
              <w:rPr/>
            </w:pPr>
            <w:r>
              <w:rPr>
                <w:rFonts w:cs="Cambria" w:ascii="Cambria" w:hAnsi="Cambria"/>
              </w:rPr>
              <w:t>-0.0176 (0.872)</w:t>
            </w:r>
          </w:p>
        </w:tc>
        <w:tc>
          <w:tcPr>
            <w:tcW w:w="1418" w:type="dxa"/>
            <w:tcBorders/>
            <w:shd w:fill="auto" w:val="clear"/>
            <w:tcMar>
              <w:left w:w="108" w:type="dxa"/>
            </w:tcMar>
          </w:tcPr>
          <w:p>
            <w:pPr>
              <w:pStyle w:val="Normal"/>
              <w:spacing w:lineRule="auto" w:line="480"/>
              <w:jc w:val="center"/>
              <w:rPr/>
            </w:pPr>
            <w:r>
              <w:rPr>
                <w:rFonts w:cs="Cambria" w:ascii="Cambria" w:hAnsi="Cambria"/>
              </w:rPr>
              <w:t>-0.0762 (0.483)</w:t>
            </w:r>
          </w:p>
        </w:tc>
        <w:tc>
          <w:tcPr>
            <w:tcW w:w="1307" w:type="dxa"/>
            <w:tcBorders/>
            <w:shd w:fill="auto" w:val="clear"/>
            <w:tcMar>
              <w:left w:w="108" w:type="dxa"/>
            </w:tcMar>
          </w:tcPr>
          <w:p>
            <w:pPr>
              <w:pStyle w:val="Normal"/>
              <w:spacing w:lineRule="auto" w:line="480"/>
              <w:jc w:val="center"/>
              <w:rPr/>
            </w:pPr>
            <w:r>
              <w:rPr>
                <w:rFonts w:cs="Cambria" w:ascii="Cambria" w:hAnsi="Cambria"/>
              </w:rPr>
              <w:t>-0.0998 (0.358)</w:t>
            </w:r>
          </w:p>
        </w:tc>
        <w:tc>
          <w:tcPr>
            <w:tcW w:w="1419" w:type="dxa"/>
            <w:tcBorders/>
            <w:shd w:fill="auto" w:val="clear"/>
            <w:tcMar>
              <w:left w:w="108" w:type="dxa"/>
            </w:tcMar>
          </w:tcPr>
          <w:p>
            <w:pPr>
              <w:pStyle w:val="Normal"/>
              <w:spacing w:lineRule="auto" w:line="480"/>
              <w:jc w:val="center"/>
              <w:rPr/>
            </w:pPr>
            <w:r>
              <w:rPr>
                <w:rFonts w:cs="Cambria" w:ascii="Cambria" w:hAnsi="Cambria"/>
              </w:rPr>
              <w:t>-0.0817 (0.452)</w:t>
            </w:r>
          </w:p>
        </w:tc>
        <w:tc>
          <w:tcPr>
            <w:tcW w:w="1416" w:type="dxa"/>
            <w:tcBorders/>
            <w:shd w:fill="auto" w:val="clear"/>
            <w:tcMar>
              <w:left w:w="108" w:type="dxa"/>
            </w:tcMar>
          </w:tcPr>
          <w:p>
            <w:pPr>
              <w:pStyle w:val="Normal"/>
              <w:spacing w:lineRule="auto" w:line="480"/>
              <w:jc w:val="center"/>
              <w:rPr/>
            </w:pPr>
            <w:r>
              <w:rPr>
                <w:rFonts w:cs="Cambria" w:ascii="Cambria" w:hAnsi="Cambria"/>
              </w:rPr>
              <w:t>-0.1581 (0.144)</w:t>
            </w:r>
          </w:p>
        </w:tc>
        <w:tc>
          <w:tcPr>
            <w:tcW w:w="1419" w:type="dxa"/>
            <w:tcBorders/>
            <w:shd w:fill="auto" w:val="clear"/>
            <w:tcMar>
              <w:left w:w="108" w:type="dxa"/>
            </w:tcMar>
          </w:tcPr>
          <w:p>
            <w:pPr>
              <w:pStyle w:val="Normal"/>
              <w:spacing w:lineRule="auto" w:line="480"/>
              <w:jc w:val="center"/>
              <w:rPr/>
            </w:pPr>
            <w:r>
              <w:rPr>
                <w:rFonts w:cs="Cambria" w:ascii="Cambria" w:hAnsi="Cambria"/>
                <w:b/>
              </w:rPr>
              <w:t>-0.2523 (0.018)</w:t>
            </w:r>
          </w:p>
        </w:tc>
        <w:tc>
          <w:tcPr>
            <w:tcW w:w="1416" w:type="dxa"/>
            <w:tcBorders/>
            <w:shd w:fill="auto" w:val="clear"/>
            <w:tcMar>
              <w:left w:w="108" w:type="dxa"/>
            </w:tcMar>
          </w:tcPr>
          <w:p>
            <w:pPr>
              <w:pStyle w:val="Normal"/>
              <w:spacing w:lineRule="auto" w:line="480"/>
              <w:jc w:val="center"/>
              <w:rPr/>
            </w:pPr>
            <w:r>
              <w:rPr>
                <w:rFonts w:cs="Cambria" w:ascii="Cambria" w:hAnsi="Cambria"/>
              </w:rPr>
              <w:t>-0.1140 (0.293)</w:t>
            </w:r>
          </w:p>
        </w:tc>
        <w:tc>
          <w:tcPr>
            <w:tcW w:w="1419" w:type="dxa"/>
            <w:tcBorders/>
            <w:shd w:fill="auto" w:val="clear"/>
            <w:tcMar>
              <w:left w:w="108" w:type="dxa"/>
            </w:tcMar>
          </w:tcPr>
          <w:p>
            <w:pPr>
              <w:pStyle w:val="Normal"/>
              <w:spacing w:lineRule="auto" w:line="480"/>
              <w:jc w:val="center"/>
              <w:rPr/>
            </w:pPr>
            <w:r>
              <w:rPr>
                <w:rFonts w:cs="Cambria" w:ascii="Cambria" w:hAnsi="Cambria"/>
              </w:rPr>
              <w:t>-0.1164 (0.283)</w:t>
            </w:r>
          </w:p>
        </w:tc>
        <w:tc>
          <w:tcPr>
            <w:tcW w:w="1417" w:type="dxa"/>
            <w:tcBorders/>
            <w:shd w:fill="auto" w:val="clear"/>
            <w:tcMar>
              <w:left w:w="108" w:type="dxa"/>
            </w:tcMar>
          </w:tcPr>
          <w:p>
            <w:pPr>
              <w:pStyle w:val="Normal"/>
              <w:spacing w:lineRule="auto" w:line="480"/>
              <w:jc w:val="center"/>
              <w:rPr/>
            </w:pPr>
            <w:r>
              <w:rPr>
                <w:rFonts w:cs="Cambria" w:ascii="Cambria" w:hAnsi="Cambria"/>
              </w:rPr>
              <w:t>-0.0939 (0.387)</w:t>
            </w:r>
          </w:p>
        </w:tc>
      </w:tr>
      <w:tr>
        <w:trPr/>
        <w:tc>
          <w:tcPr>
            <w:tcW w:w="1668" w:type="dxa"/>
            <w:tcBorders/>
            <w:shd w:color="auto" w:fill="BFBFBF" w:themeFill="background1" w:themeFillShade="bf" w:val="clear"/>
            <w:tcMar>
              <w:left w:w="108" w:type="dxa"/>
            </w:tcMar>
          </w:tcPr>
          <w:p>
            <w:pPr>
              <w:pStyle w:val="Normal"/>
              <w:spacing w:lineRule="auto" w:line="480"/>
              <w:jc w:val="both"/>
              <w:rPr>
                <w:b/>
                <w:b/>
              </w:rPr>
            </w:pPr>
            <w:r>
              <w:rPr>
                <w:b/>
              </w:rPr>
            </w:r>
          </w:p>
        </w:tc>
        <w:tc>
          <w:tcPr>
            <w:tcW w:w="1274"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2</w:t>
            </w:r>
          </w:p>
        </w:tc>
        <w:tc>
          <w:tcPr>
            <w:tcW w:w="1418"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3</w:t>
            </w:r>
          </w:p>
        </w:tc>
        <w:tc>
          <w:tcPr>
            <w:tcW w:w="1307"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4</w:t>
            </w:r>
          </w:p>
        </w:tc>
        <w:tc>
          <w:tcPr>
            <w:tcW w:w="1419"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5</w:t>
            </w:r>
          </w:p>
        </w:tc>
        <w:tc>
          <w:tcPr>
            <w:tcW w:w="1416"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6</w:t>
            </w:r>
          </w:p>
        </w:tc>
        <w:tc>
          <w:tcPr>
            <w:tcW w:w="1419"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7</w:t>
            </w:r>
          </w:p>
        </w:tc>
        <w:tc>
          <w:tcPr>
            <w:tcW w:w="1416"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8</w:t>
            </w:r>
          </w:p>
        </w:tc>
        <w:tc>
          <w:tcPr>
            <w:tcW w:w="1419"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10</w:t>
            </w:r>
          </w:p>
        </w:tc>
        <w:tc>
          <w:tcPr>
            <w:tcW w:w="1417" w:type="dxa"/>
            <w:tcBorders/>
            <w:shd w:color="auto" w:fill="BFBFBF" w:themeFill="background1" w:themeFillShade="bf" w:val="clear"/>
            <w:tcMar>
              <w:left w:w="108" w:type="dxa"/>
            </w:tcMar>
          </w:tcPr>
          <w:p>
            <w:pPr>
              <w:pStyle w:val="Normal"/>
              <w:spacing w:lineRule="auto" w:line="480"/>
              <w:jc w:val="center"/>
              <w:rPr/>
            </w:pPr>
            <w:r>
              <w:rPr>
                <w:b/>
              </w:rPr>
              <w:t>tau</w:t>
            </w:r>
          </w:p>
          <w:p>
            <w:pPr>
              <w:pStyle w:val="Normal"/>
              <w:spacing w:lineRule="auto" w:line="480"/>
              <w:jc w:val="center"/>
              <w:rPr/>
            </w:pPr>
            <w:r>
              <w:rPr>
                <w:b/>
              </w:rPr>
              <w:t>IC 11</w:t>
            </w:r>
          </w:p>
        </w:tc>
      </w:tr>
      <w:tr>
        <w:trPr/>
        <w:tc>
          <w:tcPr>
            <w:tcW w:w="1668" w:type="dxa"/>
            <w:tcBorders/>
            <w:shd w:color="auto" w:fill="BFBFBF" w:themeFill="background1" w:themeFillShade="bf" w:val="clear"/>
            <w:tcMar>
              <w:left w:w="108" w:type="dxa"/>
            </w:tcMar>
          </w:tcPr>
          <w:p>
            <w:pPr>
              <w:pStyle w:val="Normal"/>
              <w:spacing w:lineRule="auto" w:line="480"/>
              <w:jc w:val="both"/>
              <w:rPr/>
            </w:pPr>
            <w:r>
              <w:rPr/>
              <w:t>Gray matter volumes</w:t>
            </w:r>
          </w:p>
        </w:tc>
        <w:tc>
          <w:tcPr>
            <w:tcW w:w="1274" w:type="dxa"/>
            <w:tcBorders/>
            <w:shd w:fill="auto" w:val="clear"/>
            <w:tcMar>
              <w:left w:w="108" w:type="dxa"/>
            </w:tcMar>
          </w:tcPr>
          <w:p>
            <w:pPr>
              <w:pStyle w:val="Normal"/>
              <w:spacing w:lineRule="auto" w:line="480"/>
              <w:jc w:val="center"/>
              <w:rPr/>
            </w:pPr>
            <w:r>
              <w:rPr>
                <w:rFonts w:cs="Cambria" w:ascii="Cambria" w:hAnsi="Cambria"/>
                <w:b/>
              </w:rPr>
              <w:t>-0.3321 (0.002)</w:t>
            </w:r>
          </w:p>
        </w:tc>
        <w:tc>
          <w:tcPr>
            <w:tcW w:w="1418" w:type="dxa"/>
            <w:tcBorders/>
            <w:shd w:fill="auto" w:val="clear"/>
            <w:tcMar>
              <w:left w:w="108" w:type="dxa"/>
            </w:tcMar>
          </w:tcPr>
          <w:p>
            <w:pPr>
              <w:pStyle w:val="Normal"/>
              <w:spacing w:lineRule="auto" w:line="480"/>
              <w:jc w:val="center"/>
              <w:rPr/>
            </w:pPr>
            <w:r>
              <w:rPr>
                <w:rFonts w:cs="Cambria" w:ascii="Cambria" w:hAnsi="Cambria"/>
                <w:b/>
              </w:rPr>
              <w:t>-0.3545 (&lt;0.001)</w:t>
            </w:r>
          </w:p>
        </w:tc>
        <w:tc>
          <w:tcPr>
            <w:tcW w:w="1307" w:type="dxa"/>
            <w:tcBorders/>
            <w:shd w:fill="auto" w:val="clear"/>
            <w:tcMar>
              <w:left w:w="108" w:type="dxa"/>
            </w:tcMar>
          </w:tcPr>
          <w:p>
            <w:pPr>
              <w:pStyle w:val="Normal"/>
              <w:spacing w:lineRule="auto" w:line="480"/>
              <w:jc w:val="center"/>
              <w:rPr/>
            </w:pPr>
            <w:r>
              <w:rPr>
                <w:rFonts w:cs="Cambria" w:ascii="Cambria" w:hAnsi="Cambria"/>
                <w:b/>
              </w:rPr>
              <w:t>-0.2995 (0.005)</w:t>
            </w:r>
          </w:p>
        </w:tc>
        <w:tc>
          <w:tcPr>
            <w:tcW w:w="1419" w:type="dxa"/>
            <w:tcBorders/>
            <w:shd w:fill="auto" w:val="clear"/>
            <w:tcMar>
              <w:left w:w="108" w:type="dxa"/>
            </w:tcMar>
          </w:tcPr>
          <w:p>
            <w:pPr>
              <w:pStyle w:val="Normal"/>
              <w:spacing w:lineRule="auto" w:line="480"/>
              <w:jc w:val="center"/>
              <w:rPr/>
            </w:pPr>
            <w:r>
              <w:rPr>
                <w:rFonts w:cs="Cambria" w:ascii="Cambria" w:hAnsi="Cambria"/>
                <w:b/>
              </w:rPr>
              <w:t>-0.2573 (0.016)</w:t>
            </w:r>
          </w:p>
        </w:tc>
        <w:tc>
          <w:tcPr>
            <w:tcW w:w="1416" w:type="dxa"/>
            <w:tcBorders/>
            <w:shd w:fill="auto" w:val="clear"/>
            <w:tcMar>
              <w:left w:w="108" w:type="dxa"/>
            </w:tcMar>
          </w:tcPr>
          <w:p>
            <w:pPr>
              <w:pStyle w:val="Normal"/>
              <w:spacing w:lineRule="auto" w:line="480"/>
              <w:jc w:val="center"/>
              <w:rPr/>
            </w:pPr>
            <w:r>
              <w:rPr>
                <w:rFonts w:cs="Cambria" w:ascii="Cambria" w:hAnsi="Cambria"/>
                <w:b/>
              </w:rPr>
              <w:t>-0.3471 (&lt;0.001)</w:t>
            </w:r>
          </w:p>
        </w:tc>
        <w:tc>
          <w:tcPr>
            <w:tcW w:w="1419" w:type="dxa"/>
            <w:tcBorders/>
            <w:shd w:fill="auto" w:val="clear"/>
            <w:tcMar>
              <w:left w:w="108" w:type="dxa"/>
            </w:tcMar>
          </w:tcPr>
          <w:p>
            <w:pPr>
              <w:pStyle w:val="Normal"/>
              <w:spacing w:lineRule="auto" w:line="480"/>
              <w:jc w:val="center"/>
              <w:rPr/>
            </w:pPr>
            <w:r>
              <w:rPr>
                <w:rFonts w:cs="Cambria" w:ascii="Cambria" w:hAnsi="Cambria"/>
                <w:b/>
              </w:rPr>
              <w:t>-0.4193 (&lt;0.001)</w:t>
            </w:r>
          </w:p>
        </w:tc>
        <w:tc>
          <w:tcPr>
            <w:tcW w:w="1416" w:type="dxa"/>
            <w:tcBorders/>
            <w:shd w:fill="auto" w:val="clear"/>
            <w:tcMar>
              <w:left w:w="108" w:type="dxa"/>
            </w:tcMar>
          </w:tcPr>
          <w:p>
            <w:pPr>
              <w:pStyle w:val="Normal"/>
              <w:spacing w:lineRule="auto" w:line="480"/>
              <w:jc w:val="center"/>
              <w:rPr/>
            </w:pPr>
            <w:r>
              <w:rPr>
                <w:rFonts w:cs="Cambria" w:ascii="Cambria" w:hAnsi="Cambria"/>
                <w:b/>
              </w:rPr>
              <w:t>-0.3233 (0.002)</w:t>
            </w:r>
          </w:p>
        </w:tc>
        <w:tc>
          <w:tcPr>
            <w:tcW w:w="1419" w:type="dxa"/>
            <w:tcBorders/>
            <w:shd w:fill="auto" w:val="clear"/>
            <w:tcMar>
              <w:left w:w="108" w:type="dxa"/>
            </w:tcMar>
          </w:tcPr>
          <w:p>
            <w:pPr>
              <w:pStyle w:val="Normal"/>
              <w:spacing w:lineRule="auto" w:line="480"/>
              <w:jc w:val="center"/>
              <w:rPr/>
            </w:pPr>
            <w:r>
              <w:rPr>
                <w:rFonts w:cs="Cambria" w:ascii="Cambria" w:hAnsi="Cambria"/>
                <w:b/>
              </w:rPr>
              <w:t>-0.3824 (&lt;0.001)</w:t>
            </w:r>
          </w:p>
        </w:tc>
        <w:tc>
          <w:tcPr>
            <w:tcW w:w="1417" w:type="dxa"/>
            <w:tcBorders/>
            <w:shd w:fill="auto" w:val="clear"/>
            <w:tcMar>
              <w:left w:w="108" w:type="dxa"/>
            </w:tcMar>
          </w:tcPr>
          <w:p>
            <w:pPr>
              <w:pStyle w:val="Normal"/>
              <w:spacing w:lineRule="auto" w:line="480"/>
              <w:jc w:val="center"/>
              <w:rPr/>
            </w:pPr>
            <w:r>
              <w:rPr>
                <w:rFonts w:cs="Cambria" w:ascii="Cambria" w:hAnsi="Cambria"/>
                <w:b/>
              </w:rPr>
              <w:t>-0.3576 (&lt;0.001)</w:t>
            </w:r>
          </w:p>
        </w:tc>
      </w:tr>
    </w:tbl>
    <w:p>
      <w:pPr>
        <w:pStyle w:val="Normal"/>
        <w:spacing w:lineRule="auto" w:line="480"/>
        <w:jc w:val="both"/>
        <w:rPr>
          <w:b/>
          <w:b/>
        </w:rPr>
      </w:pPr>
      <w:r>
        <w:rPr>
          <w:b/>
        </w:rPr>
      </w:r>
    </w:p>
    <w:p>
      <w:pPr>
        <w:pStyle w:val="Normal"/>
        <w:spacing w:lineRule="auto" w:line="480"/>
        <w:jc w:val="both"/>
        <w:rPr/>
      </w:pPr>
      <w:r>
        <w:rPr>
          <w:sz w:val="22"/>
          <w:szCs w:val="22"/>
        </w:rPr>
        <w:t>The values presented in the table correspond to Spearman’s Rho followed by (p values) for the correlations between the gray matter volumes of regions that show atrophy in Alzheimer’s disease (Darby et al., 2019) and PET networks SUVRs, while controlling for age, sex, presence of cognitive impairment and intracranial volume. P values in bold correspond to significant group differences after adjusting for multiple comparisons with false discovery rate corrections (FDR) (q &lt; 0.05).</w:t>
      </w:r>
    </w:p>
    <w:p>
      <w:pPr>
        <w:pStyle w:val="Normal"/>
        <w:pBdr/>
        <w:spacing w:lineRule="auto" w:line="480"/>
        <w:jc w:val="both"/>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s>
</file>

<file path=word/settings.xml><?xml version="1.0" encoding="utf-8"?>
<w:settings xmlns:w="http://schemas.openxmlformats.org/wordprocessingml/2006/main">
  <w:zoom w:percent="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IN"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en-IN" w:eastAsia="zh-CN" w:bidi="hi-IN"/>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ages>1</Pages>
  <Words>190</Words>
  <Characters>997</Characters>
  <CharactersWithSpaces>1138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2019-12-31T15:12:26Z</dcterms:created>
  <dc:creator/>
  <dc:description/>
  <dc:language>en-IN</dc:language>
  <cp:lastModifiedBy/>
  <dcterms:modified xsi:type="dcterms:W3CDTF">2019-12-31T15:12:41Z</dcterms:modified>
  <cp:revision>1</cp:revision>
  <dc:subject/>
  <dc:title/>
</cp:coreProperties>
</file>