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4A0972">
      <w:pPr>
        <w:jc w:val="both"/>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4A0972">
      <w:pPr>
        <w:jc w:val="both"/>
        <w:rPr>
          <w:rFonts w:asciiTheme="minorHAnsi" w:hAnsiTheme="minorHAnsi"/>
          <w:bCs/>
          <w:sz w:val="22"/>
          <w:szCs w:val="22"/>
        </w:rPr>
      </w:pPr>
    </w:p>
    <w:p w14:paraId="30CA8809" w14:textId="77F68820" w:rsidR="00605A12" w:rsidRDefault="00D93937" w:rsidP="004A0972">
      <w:pPr>
        <w:jc w:val="both"/>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4A0972">
      <w:pPr>
        <w:jc w:val="both"/>
        <w:rPr>
          <w:rFonts w:asciiTheme="minorHAnsi" w:hAnsiTheme="minorHAnsi"/>
          <w:bCs/>
        </w:rPr>
      </w:pPr>
    </w:p>
    <w:p w14:paraId="094E1034" w14:textId="7DE9C48C" w:rsidR="00C1184B" w:rsidRPr="00505C51" w:rsidRDefault="00D93937" w:rsidP="004A0972">
      <w:pPr>
        <w:jc w:val="both"/>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4A0972">
      <w:pPr>
        <w:jc w:val="both"/>
        <w:rPr>
          <w:rFonts w:asciiTheme="minorHAnsi" w:hAnsiTheme="minorHAnsi"/>
          <w:b/>
          <w:bCs/>
          <w:color w:val="3366FF"/>
          <w:sz w:val="22"/>
          <w:szCs w:val="22"/>
        </w:rPr>
      </w:pPr>
    </w:p>
    <w:p w14:paraId="12D04514" w14:textId="77777777" w:rsidR="00AF5736" w:rsidRPr="00505C51" w:rsidRDefault="00AF5736" w:rsidP="004A0972">
      <w:pPr>
        <w:jc w:val="both"/>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4A0972">
      <w:pPr>
        <w:pStyle w:val="ListParagraph"/>
        <w:numPr>
          <w:ilvl w:val="0"/>
          <w:numId w:val="4"/>
        </w:numPr>
        <w:jc w:val="both"/>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4A0972">
      <w:pPr>
        <w:pStyle w:val="ListParagraph"/>
        <w:numPr>
          <w:ilvl w:val="0"/>
          <w:numId w:val="4"/>
        </w:numPr>
        <w:jc w:val="both"/>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4A0972">
      <w:pPr>
        <w:pStyle w:val="ListParagraph"/>
        <w:numPr>
          <w:ilvl w:val="0"/>
          <w:numId w:val="4"/>
        </w:numPr>
        <w:jc w:val="both"/>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4A0972">
      <w:pPr>
        <w:jc w:val="both"/>
        <w:rPr>
          <w:rFonts w:asciiTheme="minorHAnsi" w:hAnsiTheme="minorHAnsi"/>
          <w:sz w:val="16"/>
          <w:szCs w:val="16"/>
          <w:lang w:val="en-GB"/>
        </w:rPr>
      </w:pPr>
    </w:p>
    <w:p w14:paraId="71461225" w14:textId="5E717B8A" w:rsidR="00877644" w:rsidRPr="00505C51" w:rsidRDefault="00877644" w:rsidP="004A0972">
      <w:pPr>
        <w:jc w:val="both"/>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064440A1" w14:textId="77777777" w:rsidR="00F45B71" w:rsidRDefault="00F45B71" w:rsidP="00CB219B">
      <w:pPr>
        <w:framePr w:w="10756" w:h="1088" w:hSpace="180" w:wrap="around" w:vAnchor="text" w:hAnchor="page" w:x="451" w:y="-1"/>
        <w:pBdr>
          <w:top w:val="single" w:sz="6" w:space="1" w:color="auto"/>
          <w:left w:val="single" w:sz="6" w:space="1" w:color="auto"/>
          <w:bottom w:val="single" w:sz="6" w:space="1" w:color="auto"/>
          <w:right w:val="single" w:sz="6" w:space="1" w:color="auto"/>
        </w:pBdr>
        <w:jc w:val="both"/>
        <w:rPr>
          <w:rFonts w:ascii="Arial" w:hAnsi="Arial" w:cs="Arial"/>
          <w:color w:val="000000" w:themeColor="text1"/>
          <w:sz w:val="20"/>
          <w:szCs w:val="20"/>
        </w:rPr>
      </w:pPr>
    </w:p>
    <w:p w14:paraId="1895B3D7" w14:textId="45A92D86" w:rsidR="0091072C" w:rsidRPr="00A15023" w:rsidRDefault="004359E9" w:rsidP="00CB219B">
      <w:pPr>
        <w:framePr w:w="10756" w:h="1088" w:hSpace="180" w:wrap="around" w:vAnchor="text" w:hAnchor="page" w:x="451" w:y="-1"/>
        <w:pBdr>
          <w:top w:val="single" w:sz="6" w:space="1" w:color="auto"/>
          <w:left w:val="single" w:sz="6" w:space="1" w:color="auto"/>
          <w:bottom w:val="single" w:sz="6" w:space="1" w:color="auto"/>
          <w:right w:val="single" w:sz="6" w:space="1" w:color="auto"/>
        </w:pBdr>
        <w:jc w:val="both"/>
        <w:rPr>
          <w:rFonts w:ascii="Arial" w:hAnsi="Arial" w:cs="Arial"/>
          <w:color w:val="000000" w:themeColor="text1"/>
          <w:sz w:val="20"/>
          <w:szCs w:val="20"/>
        </w:rPr>
      </w:pPr>
      <w:r w:rsidRPr="00A15023">
        <w:rPr>
          <w:rFonts w:ascii="Arial" w:hAnsi="Arial" w:cs="Arial"/>
          <w:color w:val="000000" w:themeColor="text1"/>
          <w:sz w:val="20"/>
          <w:szCs w:val="20"/>
        </w:rPr>
        <w:t xml:space="preserve">Information about data collection can be found under subsection Data Collection under the </w:t>
      </w:r>
      <w:r w:rsidR="006C20A7" w:rsidRPr="00A15023">
        <w:rPr>
          <w:rFonts w:ascii="Arial" w:hAnsi="Arial" w:cs="Arial"/>
          <w:color w:val="000000" w:themeColor="text1"/>
          <w:sz w:val="20"/>
          <w:szCs w:val="20"/>
        </w:rPr>
        <w:t>section Materials.</w:t>
      </w:r>
      <w:r w:rsidR="0094653C" w:rsidRPr="00A15023">
        <w:rPr>
          <w:rFonts w:ascii="Arial" w:hAnsi="Arial" w:cs="Arial"/>
          <w:color w:val="000000" w:themeColor="text1"/>
          <w:sz w:val="20"/>
          <w:szCs w:val="20"/>
        </w:rPr>
        <w:t xml:space="preserve"> </w:t>
      </w:r>
      <w:r w:rsidR="00E111CB" w:rsidRPr="00A15023">
        <w:rPr>
          <w:rFonts w:ascii="Arial" w:hAnsi="Arial" w:cs="Arial"/>
          <w:color w:val="000000" w:themeColor="text1"/>
          <w:sz w:val="20"/>
          <w:szCs w:val="20"/>
        </w:rPr>
        <w:t>We profiled natural killer (NK) cell subsets in the blood of 72 asymptomatic men with Prostate Specific Antigen (PSA) levels &lt;20 ng</w:t>
      </w:r>
      <w:r w:rsidR="00CB219B" w:rsidRPr="00A15023">
        <w:rPr>
          <w:rFonts w:ascii="Arial" w:hAnsi="Arial" w:cs="Arial"/>
          <w:color w:val="000000" w:themeColor="text1"/>
          <w:sz w:val="20"/>
          <w:szCs w:val="20"/>
        </w:rPr>
        <w:t>/</w:t>
      </w:r>
      <w:r w:rsidR="00E111CB" w:rsidRPr="00A15023">
        <w:rPr>
          <w:rFonts w:ascii="Arial" w:hAnsi="Arial" w:cs="Arial"/>
          <w:color w:val="000000" w:themeColor="text1"/>
          <w:sz w:val="20"/>
          <w:szCs w:val="20"/>
        </w:rPr>
        <w:t>ml, of whom 31 had benign disease (no cancer) and 41 had prostate cancer.</w:t>
      </w:r>
      <w:r w:rsidR="0094653C" w:rsidRPr="00A15023">
        <w:rPr>
          <w:rFonts w:ascii="Arial" w:hAnsi="Arial" w:cs="Arial"/>
          <w:color w:val="000000" w:themeColor="text1"/>
          <w:sz w:val="20"/>
          <w:szCs w:val="20"/>
        </w:rPr>
        <w:t xml:space="preserve"> Hence</w:t>
      </w:r>
      <w:r w:rsidR="0091072C" w:rsidRPr="00A15023">
        <w:rPr>
          <w:rFonts w:ascii="Arial" w:hAnsi="Arial" w:cs="Arial"/>
          <w:color w:val="000000" w:themeColor="text1"/>
          <w:sz w:val="20"/>
          <w:szCs w:val="20"/>
        </w:rPr>
        <w:t xml:space="preserve"> we have: </w:t>
      </w:r>
      <w:r w:rsidR="0094653C" w:rsidRPr="00A15023">
        <w:rPr>
          <w:rFonts w:ascii="Arial" w:hAnsi="Arial" w:cs="Arial"/>
          <w:color w:val="000000" w:themeColor="text1"/>
          <w:sz w:val="20"/>
          <w:szCs w:val="20"/>
        </w:rPr>
        <w:t>Group 1: 31 patients with benign disease (no cancer)</w:t>
      </w:r>
      <w:r w:rsidR="0091072C" w:rsidRPr="00A15023">
        <w:rPr>
          <w:rFonts w:ascii="Arial" w:hAnsi="Arial" w:cs="Arial"/>
          <w:color w:val="000000" w:themeColor="text1"/>
          <w:sz w:val="20"/>
          <w:szCs w:val="20"/>
        </w:rPr>
        <w:t xml:space="preserve"> and </w:t>
      </w:r>
      <w:r w:rsidR="0094653C" w:rsidRPr="00A15023">
        <w:rPr>
          <w:rFonts w:ascii="Arial" w:hAnsi="Arial" w:cs="Arial"/>
          <w:color w:val="000000" w:themeColor="text1"/>
          <w:sz w:val="20"/>
          <w:szCs w:val="20"/>
        </w:rPr>
        <w:t>Group 2: 41 patients with prostate cancer.</w:t>
      </w:r>
    </w:p>
    <w:p w14:paraId="6E0266C4" w14:textId="77777777" w:rsidR="0091072C" w:rsidRPr="00A15023" w:rsidRDefault="0091072C" w:rsidP="00CB219B">
      <w:pPr>
        <w:framePr w:w="10756" w:h="1088" w:hSpace="180" w:wrap="around" w:vAnchor="text" w:hAnchor="page" w:x="451" w:y="-1"/>
        <w:pBdr>
          <w:top w:val="single" w:sz="6" w:space="1" w:color="auto"/>
          <w:left w:val="single" w:sz="6" w:space="1" w:color="auto"/>
          <w:bottom w:val="single" w:sz="6" w:space="1" w:color="auto"/>
          <w:right w:val="single" w:sz="6" w:space="1" w:color="auto"/>
        </w:pBdr>
        <w:jc w:val="both"/>
        <w:rPr>
          <w:rFonts w:ascii="Arial" w:hAnsi="Arial" w:cs="Arial"/>
          <w:color w:val="000000" w:themeColor="text1"/>
          <w:sz w:val="20"/>
          <w:szCs w:val="20"/>
        </w:rPr>
      </w:pPr>
    </w:p>
    <w:p w14:paraId="3004425F" w14:textId="0FCE2163" w:rsidR="0094653C" w:rsidRPr="00A15023" w:rsidRDefault="00E111CB" w:rsidP="00CB219B">
      <w:pPr>
        <w:framePr w:w="10756" w:h="1088" w:hSpace="180" w:wrap="around" w:vAnchor="text" w:hAnchor="page" w:x="451" w:y="-1"/>
        <w:pBdr>
          <w:top w:val="single" w:sz="6" w:space="1" w:color="auto"/>
          <w:left w:val="single" w:sz="6" w:space="1" w:color="auto"/>
          <w:bottom w:val="single" w:sz="6" w:space="1" w:color="auto"/>
          <w:right w:val="single" w:sz="6" w:space="1" w:color="auto"/>
        </w:pBdr>
        <w:jc w:val="both"/>
        <w:rPr>
          <w:rFonts w:ascii="Arial" w:hAnsi="Arial" w:cs="Arial"/>
          <w:color w:val="000000" w:themeColor="text1"/>
          <w:sz w:val="20"/>
          <w:szCs w:val="20"/>
        </w:rPr>
      </w:pPr>
      <w:r w:rsidRPr="00A15023">
        <w:rPr>
          <w:rFonts w:ascii="Arial" w:hAnsi="Arial" w:cs="Arial"/>
          <w:color w:val="000000" w:themeColor="text1"/>
          <w:sz w:val="20"/>
          <w:szCs w:val="20"/>
        </w:rPr>
        <w:t xml:space="preserve">Statistical power is the probability that the test rejects the null hypothesis when a specific alternative hypothesis is true. </w:t>
      </w:r>
      <w:r w:rsidR="0094653C" w:rsidRPr="00A15023">
        <w:rPr>
          <w:rFonts w:ascii="Arial" w:hAnsi="Arial" w:cs="Arial"/>
          <w:color w:val="000000" w:themeColor="text1"/>
          <w:sz w:val="20"/>
          <w:szCs w:val="20"/>
        </w:rPr>
        <w:t xml:space="preserve">We used the Power of T-test to determine whether we had </w:t>
      </w:r>
      <w:r w:rsidR="00CB219B" w:rsidRPr="00A15023">
        <w:rPr>
          <w:rFonts w:ascii="Arial" w:hAnsi="Arial" w:cs="Arial"/>
          <w:color w:val="000000" w:themeColor="text1"/>
          <w:sz w:val="20"/>
          <w:szCs w:val="20"/>
        </w:rPr>
        <w:t>sufficient s</w:t>
      </w:r>
      <w:r w:rsidR="0094653C" w:rsidRPr="00A15023">
        <w:rPr>
          <w:rFonts w:ascii="Arial" w:hAnsi="Arial" w:cs="Arial"/>
          <w:color w:val="000000" w:themeColor="text1"/>
          <w:sz w:val="20"/>
          <w:szCs w:val="20"/>
        </w:rPr>
        <w:t xml:space="preserve">amples for </w:t>
      </w:r>
      <w:r w:rsidR="0013177B" w:rsidRPr="00A15023">
        <w:rPr>
          <w:rFonts w:ascii="Arial" w:hAnsi="Arial" w:cs="Arial"/>
          <w:color w:val="000000" w:themeColor="text1"/>
          <w:sz w:val="20"/>
          <w:szCs w:val="20"/>
        </w:rPr>
        <w:t xml:space="preserve">testing our hypotheses. </w:t>
      </w:r>
      <w:r w:rsidR="0094653C" w:rsidRPr="00A15023">
        <w:rPr>
          <w:rFonts w:ascii="Arial" w:hAnsi="Arial" w:cs="Arial"/>
          <w:color w:val="000000" w:themeColor="text1"/>
          <w:sz w:val="20"/>
          <w:szCs w:val="20"/>
        </w:rPr>
        <w:t>Given</w:t>
      </w:r>
      <w:r w:rsidRPr="00A15023">
        <w:rPr>
          <w:rFonts w:ascii="Arial" w:hAnsi="Arial" w:cs="Arial"/>
          <w:color w:val="000000" w:themeColor="text1"/>
          <w:sz w:val="20"/>
          <w:szCs w:val="20"/>
        </w:rPr>
        <w:t xml:space="preserve"> a significance of 0.05 </w:t>
      </w:r>
      <w:r w:rsidR="0094653C" w:rsidRPr="00A15023">
        <w:rPr>
          <w:rFonts w:ascii="Arial" w:hAnsi="Arial" w:cs="Arial"/>
          <w:color w:val="000000" w:themeColor="text1"/>
          <w:sz w:val="20"/>
          <w:szCs w:val="20"/>
        </w:rPr>
        <w:t>we</w:t>
      </w:r>
      <w:r w:rsidRPr="00A15023">
        <w:rPr>
          <w:rFonts w:ascii="Arial" w:hAnsi="Arial" w:cs="Arial"/>
          <w:color w:val="000000" w:themeColor="text1"/>
          <w:sz w:val="20"/>
          <w:szCs w:val="20"/>
        </w:rPr>
        <w:t xml:space="preserve"> explore the change in sample size between 2 and 100 with low (es=0.2), medium (es=0.5), and high (es=0.8) effect sizes, and with a ratio of </w:t>
      </w:r>
      <w:r w:rsidR="0094653C" w:rsidRPr="00A15023">
        <w:rPr>
          <w:rFonts w:ascii="Arial" w:hAnsi="Arial" w:cs="Arial"/>
          <w:color w:val="000000" w:themeColor="text1"/>
          <w:sz w:val="20"/>
          <w:szCs w:val="20"/>
        </w:rPr>
        <w:t>1</w:t>
      </w:r>
      <w:r w:rsidR="0091072C" w:rsidRPr="00A15023">
        <w:rPr>
          <w:rFonts w:ascii="Arial" w:hAnsi="Arial" w:cs="Arial"/>
          <w:color w:val="000000" w:themeColor="text1"/>
          <w:sz w:val="20"/>
          <w:szCs w:val="20"/>
        </w:rPr>
        <w:t xml:space="preserve"> and 2</w:t>
      </w:r>
      <w:r w:rsidR="0094653C" w:rsidRPr="00A15023">
        <w:rPr>
          <w:rFonts w:ascii="Arial" w:hAnsi="Arial" w:cs="Arial"/>
          <w:color w:val="000000" w:themeColor="text1"/>
          <w:sz w:val="20"/>
          <w:szCs w:val="20"/>
        </w:rPr>
        <w:t xml:space="preserve">, in </w:t>
      </w:r>
      <w:r w:rsidR="00CB219B" w:rsidRPr="00A15023">
        <w:rPr>
          <w:rFonts w:ascii="Arial" w:hAnsi="Arial" w:cs="Arial"/>
          <w:color w:val="000000" w:themeColor="text1"/>
          <w:sz w:val="20"/>
          <w:szCs w:val="20"/>
        </w:rPr>
        <w:t>F</w:t>
      </w:r>
      <w:r w:rsidR="0094653C" w:rsidRPr="00A15023">
        <w:rPr>
          <w:rFonts w:ascii="Arial" w:hAnsi="Arial" w:cs="Arial"/>
          <w:color w:val="000000" w:themeColor="text1"/>
          <w:sz w:val="20"/>
          <w:szCs w:val="20"/>
        </w:rPr>
        <w:t>igures 1 and 2</w:t>
      </w:r>
      <w:r w:rsidR="0091072C" w:rsidRPr="00A15023">
        <w:rPr>
          <w:rFonts w:ascii="Arial" w:hAnsi="Arial" w:cs="Arial"/>
          <w:color w:val="000000" w:themeColor="text1"/>
          <w:sz w:val="20"/>
          <w:szCs w:val="20"/>
        </w:rPr>
        <w:t xml:space="preserve"> respectively</w:t>
      </w:r>
      <w:r w:rsidR="0094653C" w:rsidRPr="00A15023">
        <w:rPr>
          <w:rFonts w:ascii="Arial" w:hAnsi="Arial" w:cs="Arial"/>
          <w:color w:val="000000" w:themeColor="text1"/>
          <w:sz w:val="20"/>
          <w:szCs w:val="20"/>
        </w:rPr>
        <w:t xml:space="preserve">. Ratio is the number of observations in sample 2 relative to sample 1. </w:t>
      </w:r>
      <w:r w:rsidR="0013177B" w:rsidRPr="00A15023">
        <w:rPr>
          <w:rFonts w:ascii="Arial" w:hAnsi="Arial" w:cs="Arial"/>
          <w:color w:val="000000" w:themeColor="text1"/>
          <w:sz w:val="20"/>
          <w:szCs w:val="20"/>
        </w:rPr>
        <w:t xml:space="preserve">Within the Figures, multiple curves are plotted </w:t>
      </w:r>
      <w:r w:rsidR="00CB219B" w:rsidRPr="00A15023">
        <w:rPr>
          <w:rFonts w:ascii="Arial" w:hAnsi="Arial" w:cs="Arial"/>
          <w:color w:val="000000" w:themeColor="text1"/>
          <w:sz w:val="20"/>
          <w:szCs w:val="20"/>
        </w:rPr>
        <w:t>t</w:t>
      </w:r>
      <w:r w:rsidR="0013177B" w:rsidRPr="00A15023">
        <w:rPr>
          <w:rFonts w:ascii="Arial" w:hAnsi="Arial" w:cs="Arial"/>
          <w:color w:val="000000" w:themeColor="text1"/>
          <w:sz w:val="20"/>
          <w:szCs w:val="20"/>
        </w:rPr>
        <w:t>o show the impact on statistical power.</w:t>
      </w:r>
    </w:p>
    <w:p w14:paraId="6D2D6995" w14:textId="77777777" w:rsidR="0091072C" w:rsidRPr="00A15023" w:rsidRDefault="0091072C" w:rsidP="00CB219B">
      <w:pPr>
        <w:framePr w:w="10756" w:h="1088" w:hSpace="180" w:wrap="around" w:vAnchor="text" w:hAnchor="page" w:x="451" w:y="-1"/>
        <w:pBdr>
          <w:top w:val="single" w:sz="6" w:space="1" w:color="auto"/>
          <w:left w:val="single" w:sz="6" w:space="1" w:color="auto"/>
          <w:bottom w:val="single" w:sz="6" w:space="1" w:color="auto"/>
          <w:right w:val="single" w:sz="6" w:space="1" w:color="auto"/>
        </w:pBdr>
        <w:jc w:val="both"/>
        <w:rPr>
          <w:rFonts w:ascii="Arial" w:hAnsi="Arial" w:cs="Arial"/>
          <w:color w:val="000000" w:themeColor="text1"/>
          <w:sz w:val="20"/>
          <w:szCs w:val="20"/>
        </w:rPr>
      </w:pPr>
    </w:p>
    <w:p w14:paraId="0748BECC" w14:textId="32A6B491" w:rsidR="0013177B" w:rsidRPr="00A15023" w:rsidRDefault="00CB219B" w:rsidP="00CB219B">
      <w:pPr>
        <w:framePr w:w="10756" w:h="1088" w:hSpace="180" w:wrap="around" w:vAnchor="text" w:hAnchor="page" w:x="451" w:y="-1"/>
        <w:pBdr>
          <w:top w:val="single" w:sz="6" w:space="1" w:color="auto"/>
          <w:left w:val="single" w:sz="6" w:space="1" w:color="auto"/>
          <w:bottom w:val="single" w:sz="6" w:space="1" w:color="auto"/>
          <w:right w:val="single" w:sz="6" w:space="1" w:color="auto"/>
        </w:pBdr>
        <w:jc w:val="both"/>
        <w:rPr>
          <w:rFonts w:ascii="Arial" w:hAnsi="Arial" w:cs="Arial"/>
          <w:color w:val="000000" w:themeColor="text1"/>
          <w:sz w:val="20"/>
          <w:szCs w:val="20"/>
        </w:rPr>
      </w:pPr>
      <w:r w:rsidRPr="00A15023">
        <w:rPr>
          <w:rFonts w:ascii="Arial" w:hAnsi="Arial" w:cs="Arial"/>
          <w:color w:val="000000" w:themeColor="text1"/>
          <w:sz w:val="20"/>
          <w:szCs w:val="20"/>
        </w:rPr>
        <w:t xml:space="preserve">Figure 1 </w:t>
      </w:r>
      <w:r w:rsidR="00E111CB" w:rsidRPr="00A15023">
        <w:rPr>
          <w:rFonts w:ascii="Arial" w:hAnsi="Arial" w:cs="Arial"/>
          <w:color w:val="000000" w:themeColor="text1"/>
          <w:sz w:val="20"/>
          <w:szCs w:val="20"/>
        </w:rPr>
        <w:t xml:space="preserve">shows the “Power of </w:t>
      </w:r>
      <w:r w:rsidR="0094653C" w:rsidRPr="00A15023">
        <w:rPr>
          <w:rFonts w:ascii="Arial" w:hAnsi="Arial" w:cs="Arial"/>
          <w:color w:val="000000" w:themeColor="text1"/>
          <w:sz w:val="20"/>
          <w:szCs w:val="20"/>
        </w:rPr>
        <w:t>T-Test curve a=0.05, ratio=1</w:t>
      </w:r>
      <w:r w:rsidR="00E111CB" w:rsidRPr="00A15023">
        <w:rPr>
          <w:rFonts w:ascii="Arial" w:hAnsi="Arial" w:cs="Arial"/>
          <w:color w:val="000000" w:themeColor="text1"/>
          <w:sz w:val="20"/>
          <w:szCs w:val="20"/>
        </w:rPr>
        <w:t>.</w:t>
      </w:r>
      <w:r w:rsidR="0091072C" w:rsidRPr="00A15023">
        <w:rPr>
          <w:rFonts w:ascii="Arial" w:hAnsi="Arial" w:cs="Arial"/>
          <w:color w:val="000000" w:themeColor="text1"/>
          <w:sz w:val="20"/>
          <w:szCs w:val="20"/>
        </w:rPr>
        <w:t xml:space="preserve">” </w:t>
      </w:r>
      <w:r w:rsidR="00E111CB" w:rsidRPr="00A15023">
        <w:rPr>
          <w:rFonts w:ascii="Arial" w:hAnsi="Arial" w:cs="Arial"/>
          <w:color w:val="000000" w:themeColor="text1"/>
          <w:sz w:val="20"/>
          <w:szCs w:val="20"/>
        </w:rPr>
        <w:t>The graph shows the relationship between sample size and power. The sample size</w:t>
      </w:r>
      <w:r w:rsidR="0091072C" w:rsidRPr="00A15023">
        <w:rPr>
          <w:rFonts w:ascii="Arial" w:hAnsi="Arial" w:cs="Arial"/>
          <w:color w:val="000000" w:themeColor="text1"/>
          <w:sz w:val="20"/>
          <w:szCs w:val="20"/>
        </w:rPr>
        <w:t xml:space="preserve"> (n=26)</w:t>
      </w:r>
      <w:r w:rsidR="00E111CB" w:rsidRPr="00A15023">
        <w:rPr>
          <w:rFonts w:ascii="Arial" w:hAnsi="Arial" w:cs="Arial"/>
          <w:color w:val="000000" w:themeColor="text1"/>
          <w:sz w:val="20"/>
          <w:szCs w:val="20"/>
        </w:rPr>
        <w:t xml:space="preserve"> </w:t>
      </w:r>
      <w:r w:rsidR="0091072C" w:rsidRPr="00A15023">
        <w:rPr>
          <w:rFonts w:ascii="Arial" w:hAnsi="Arial" w:cs="Arial"/>
          <w:color w:val="000000" w:themeColor="text1"/>
          <w:sz w:val="20"/>
          <w:szCs w:val="20"/>
        </w:rPr>
        <w:t xml:space="preserve">that </w:t>
      </w:r>
      <w:r w:rsidR="00E111CB" w:rsidRPr="00A15023">
        <w:rPr>
          <w:rFonts w:ascii="Arial" w:hAnsi="Arial" w:cs="Arial"/>
          <w:color w:val="000000" w:themeColor="text1"/>
          <w:sz w:val="20"/>
          <w:szCs w:val="20"/>
        </w:rPr>
        <w:t xml:space="preserve">would be necessary to achieve 80% power with </w:t>
      </w:r>
      <w:r w:rsidR="0091072C" w:rsidRPr="00A15023">
        <w:rPr>
          <w:rFonts w:ascii="Arial" w:hAnsi="Arial" w:cs="Arial"/>
          <w:color w:val="000000" w:themeColor="text1"/>
          <w:sz w:val="20"/>
          <w:szCs w:val="20"/>
        </w:rPr>
        <w:t xml:space="preserve">a significance of 0.05 and 0.01 with </w:t>
      </w:r>
      <w:r w:rsidR="00E111CB" w:rsidRPr="00A15023">
        <w:rPr>
          <w:rFonts w:ascii="Arial" w:hAnsi="Arial" w:cs="Arial"/>
          <w:color w:val="000000" w:themeColor="text1"/>
          <w:sz w:val="20"/>
          <w:szCs w:val="20"/>
        </w:rPr>
        <w:t>a high effect size (es=0.80)</w:t>
      </w:r>
      <w:r w:rsidR="0091072C" w:rsidRPr="00A15023">
        <w:rPr>
          <w:rFonts w:ascii="Arial" w:hAnsi="Arial" w:cs="Arial"/>
          <w:color w:val="000000" w:themeColor="text1"/>
          <w:sz w:val="20"/>
          <w:szCs w:val="20"/>
        </w:rPr>
        <w:t xml:space="preserve"> are shown below.</w:t>
      </w:r>
    </w:p>
    <w:p w14:paraId="07751880" w14:textId="662E6316" w:rsidR="0094653C" w:rsidRPr="00A15023" w:rsidRDefault="0091072C" w:rsidP="00CB219B">
      <w:pPr>
        <w:framePr w:w="10756" w:h="1088" w:hSpace="180" w:wrap="around" w:vAnchor="text" w:hAnchor="page" w:x="451" w:y="-1"/>
        <w:pBdr>
          <w:top w:val="single" w:sz="6" w:space="1" w:color="auto"/>
          <w:left w:val="single" w:sz="6" w:space="1" w:color="auto"/>
          <w:bottom w:val="single" w:sz="6" w:space="1" w:color="auto"/>
          <w:right w:val="single" w:sz="6" w:space="1" w:color="auto"/>
        </w:pBdr>
        <w:jc w:val="both"/>
        <w:rPr>
          <w:rFonts w:ascii="Arial" w:hAnsi="Arial" w:cs="Arial"/>
          <w:color w:val="000000" w:themeColor="text1"/>
          <w:sz w:val="20"/>
          <w:szCs w:val="20"/>
        </w:rPr>
      </w:pPr>
      <w:r w:rsidRPr="00A15023">
        <w:rPr>
          <w:rFonts w:ascii="Arial" w:hAnsi="Arial" w:cs="Arial"/>
          <w:color w:val="000000" w:themeColor="text1"/>
          <w:sz w:val="20"/>
          <w:szCs w:val="20"/>
        </w:rPr>
        <w:t xml:space="preserve"> a=0.05, ratio 1</w:t>
      </w:r>
    </w:p>
    <w:p w14:paraId="064CB07C" w14:textId="77777777" w:rsidR="00CB219B" w:rsidRPr="00A15023" w:rsidRDefault="00CB219B" w:rsidP="00CB219B">
      <w:pPr>
        <w:framePr w:w="10756" w:h="1088" w:hSpace="180" w:wrap="around" w:vAnchor="text" w:hAnchor="page" w:x="451" w:y="-1"/>
        <w:pBdr>
          <w:top w:val="single" w:sz="6" w:space="1" w:color="auto"/>
          <w:left w:val="single" w:sz="6" w:space="1" w:color="auto"/>
          <w:bottom w:val="single" w:sz="6" w:space="1" w:color="auto"/>
          <w:right w:val="single" w:sz="6" w:space="1" w:color="auto"/>
        </w:pBdr>
        <w:jc w:val="both"/>
        <w:rPr>
          <w:rFonts w:ascii="Arial" w:hAnsi="Arial" w:cs="Arial"/>
          <w:color w:val="000000" w:themeColor="text1"/>
          <w:sz w:val="20"/>
          <w:szCs w:val="20"/>
        </w:rPr>
      </w:pPr>
    </w:p>
    <w:p w14:paraId="3E144A83" w14:textId="0C8FDE38" w:rsidR="0094653C" w:rsidRPr="00A15023" w:rsidRDefault="0094653C" w:rsidP="00CB219B">
      <w:pPr>
        <w:framePr w:w="10756" w:h="1088" w:hSpace="180" w:wrap="around" w:vAnchor="text" w:hAnchor="page" w:x="451" w:y="-1"/>
        <w:pBdr>
          <w:top w:val="single" w:sz="6" w:space="1" w:color="auto"/>
          <w:left w:val="single" w:sz="6" w:space="1" w:color="auto"/>
          <w:bottom w:val="single" w:sz="6" w:space="1" w:color="auto"/>
          <w:right w:val="single" w:sz="6" w:space="1" w:color="auto"/>
        </w:pBdr>
        <w:jc w:val="both"/>
        <w:rPr>
          <w:rFonts w:ascii="Arial" w:hAnsi="Arial" w:cs="Arial"/>
          <w:color w:val="000000" w:themeColor="text1"/>
          <w:sz w:val="20"/>
          <w:szCs w:val="20"/>
        </w:rPr>
      </w:pPr>
      <w:r w:rsidRPr="00A15023">
        <w:rPr>
          <w:rFonts w:ascii="Arial" w:hAnsi="Arial" w:cs="Arial"/>
          <w:color w:val="000000" w:themeColor="text1"/>
          <w:sz w:val="20"/>
          <w:szCs w:val="20"/>
        </w:rPr>
        <w:t xml:space="preserve">- Required sample size for group 1: </w:t>
      </w:r>
      <w:r w:rsidR="0091072C" w:rsidRPr="00A15023">
        <w:rPr>
          <w:rFonts w:ascii="Arial" w:hAnsi="Arial" w:cs="Arial"/>
          <w:color w:val="000000" w:themeColor="text1"/>
          <w:sz w:val="20"/>
          <w:szCs w:val="20"/>
        </w:rPr>
        <w:t>26</w:t>
      </w:r>
    </w:p>
    <w:p w14:paraId="2B7B69B8" w14:textId="1DB62F37" w:rsidR="0094653C" w:rsidRPr="00A15023" w:rsidRDefault="0094653C" w:rsidP="00CB219B">
      <w:pPr>
        <w:framePr w:w="10756" w:h="1088" w:hSpace="180" w:wrap="around" w:vAnchor="text" w:hAnchor="page" w:x="451" w:y="-1"/>
        <w:pBdr>
          <w:top w:val="single" w:sz="6" w:space="1" w:color="auto"/>
          <w:left w:val="single" w:sz="6" w:space="1" w:color="auto"/>
          <w:bottom w:val="single" w:sz="6" w:space="1" w:color="auto"/>
          <w:right w:val="single" w:sz="6" w:space="1" w:color="auto"/>
        </w:pBdr>
        <w:jc w:val="both"/>
        <w:rPr>
          <w:rFonts w:ascii="Arial" w:hAnsi="Arial" w:cs="Arial"/>
          <w:color w:val="000000" w:themeColor="text1"/>
          <w:sz w:val="20"/>
          <w:szCs w:val="20"/>
        </w:rPr>
      </w:pPr>
      <w:r w:rsidRPr="00A15023">
        <w:rPr>
          <w:rFonts w:ascii="Arial" w:hAnsi="Arial" w:cs="Arial"/>
          <w:color w:val="000000" w:themeColor="text1"/>
          <w:sz w:val="20"/>
          <w:szCs w:val="20"/>
        </w:rPr>
        <w:t xml:space="preserve">- Required sample size for group 2: </w:t>
      </w:r>
      <w:r w:rsidR="0091072C" w:rsidRPr="00A15023">
        <w:rPr>
          <w:rFonts w:ascii="Arial" w:hAnsi="Arial" w:cs="Arial"/>
          <w:color w:val="000000" w:themeColor="text1"/>
          <w:sz w:val="20"/>
          <w:szCs w:val="20"/>
        </w:rPr>
        <w:t>26</w:t>
      </w:r>
    </w:p>
    <w:p w14:paraId="3B3C1F77" w14:textId="77777777" w:rsidR="00CB219B" w:rsidRPr="00A15023" w:rsidRDefault="00CB219B" w:rsidP="00CB219B">
      <w:pPr>
        <w:framePr w:w="10756" w:h="1088" w:hSpace="180" w:wrap="around" w:vAnchor="text" w:hAnchor="page" w:x="451" w:y="-1"/>
        <w:pBdr>
          <w:top w:val="single" w:sz="6" w:space="1" w:color="auto"/>
          <w:left w:val="single" w:sz="6" w:space="1" w:color="auto"/>
          <w:bottom w:val="single" w:sz="6" w:space="1" w:color="auto"/>
          <w:right w:val="single" w:sz="6" w:space="1" w:color="auto"/>
        </w:pBdr>
        <w:jc w:val="both"/>
        <w:rPr>
          <w:rFonts w:ascii="Arial" w:hAnsi="Arial" w:cs="Arial"/>
          <w:color w:val="000000" w:themeColor="text1"/>
          <w:sz w:val="20"/>
          <w:szCs w:val="20"/>
        </w:rPr>
      </w:pPr>
    </w:p>
    <w:p w14:paraId="78C51890" w14:textId="7B651D80" w:rsidR="0091072C" w:rsidRPr="00A15023" w:rsidRDefault="0094653C" w:rsidP="00CB219B">
      <w:pPr>
        <w:framePr w:w="10756" w:h="1088" w:hSpace="180" w:wrap="around" w:vAnchor="text" w:hAnchor="page" w:x="451" w:y="-1"/>
        <w:pBdr>
          <w:top w:val="single" w:sz="6" w:space="1" w:color="auto"/>
          <w:left w:val="single" w:sz="6" w:space="1" w:color="auto"/>
          <w:bottom w:val="single" w:sz="6" w:space="1" w:color="auto"/>
          <w:right w:val="single" w:sz="6" w:space="1" w:color="auto"/>
        </w:pBdr>
        <w:jc w:val="both"/>
        <w:rPr>
          <w:rFonts w:ascii="Arial" w:hAnsi="Arial" w:cs="Arial"/>
          <w:color w:val="000000" w:themeColor="text1"/>
          <w:sz w:val="20"/>
          <w:szCs w:val="20"/>
        </w:rPr>
      </w:pPr>
      <w:r w:rsidRPr="00A15023">
        <w:rPr>
          <w:rFonts w:ascii="Arial" w:hAnsi="Arial" w:cs="Arial"/>
          <w:color w:val="000000" w:themeColor="text1"/>
          <w:sz w:val="20"/>
          <w:szCs w:val="20"/>
        </w:rPr>
        <w:t xml:space="preserve">Total sample size: </w:t>
      </w:r>
      <w:r w:rsidR="0091072C" w:rsidRPr="00A15023">
        <w:rPr>
          <w:rFonts w:ascii="Arial" w:hAnsi="Arial" w:cs="Arial"/>
          <w:color w:val="000000" w:themeColor="text1"/>
          <w:sz w:val="20"/>
          <w:szCs w:val="20"/>
        </w:rPr>
        <w:t>52. Therefore our sample size</w:t>
      </w:r>
      <w:r w:rsidR="0013177B" w:rsidRPr="00A15023">
        <w:rPr>
          <w:rFonts w:ascii="Arial" w:hAnsi="Arial" w:cs="Arial"/>
          <w:color w:val="000000" w:themeColor="text1"/>
          <w:sz w:val="20"/>
          <w:szCs w:val="20"/>
        </w:rPr>
        <w:t xml:space="preserve"> of Group 1: 31 and Group 2: 41</w:t>
      </w:r>
      <w:r w:rsidR="0091072C" w:rsidRPr="00A15023">
        <w:rPr>
          <w:rFonts w:ascii="Arial" w:hAnsi="Arial" w:cs="Arial"/>
          <w:color w:val="000000" w:themeColor="text1"/>
          <w:sz w:val="20"/>
          <w:szCs w:val="20"/>
        </w:rPr>
        <w:t xml:space="preserve"> is sufficient. We have more samples in each group</w:t>
      </w:r>
      <w:r w:rsidR="0013177B" w:rsidRPr="00A15023">
        <w:rPr>
          <w:rFonts w:ascii="Arial" w:hAnsi="Arial" w:cs="Arial"/>
          <w:color w:val="000000" w:themeColor="text1"/>
          <w:sz w:val="20"/>
          <w:szCs w:val="20"/>
        </w:rPr>
        <w:t xml:space="preserve"> than those required to </w:t>
      </w:r>
      <w:r w:rsidR="00C9575E" w:rsidRPr="00A15023">
        <w:rPr>
          <w:rFonts w:ascii="Arial" w:hAnsi="Arial" w:cs="Arial"/>
          <w:color w:val="000000" w:themeColor="text1"/>
          <w:sz w:val="20"/>
          <w:szCs w:val="20"/>
        </w:rPr>
        <w:t>reliably test o</w:t>
      </w:r>
      <w:r w:rsidR="0013177B" w:rsidRPr="00A15023">
        <w:rPr>
          <w:rFonts w:ascii="Arial" w:hAnsi="Arial" w:cs="Arial"/>
          <w:color w:val="000000" w:themeColor="text1"/>
          <w:sz w:val="20"/>
          <w:szCs w:val="20"/>
        </w:rPr>
        <w:t xml:space="preserve">ur hypothesis. </w:t>
      </w:r>
    </w:p>
    <w:p w14:paraId="37EE8AE6" w14:textId="77777777" w:rsidR="0091072C" w:rsidRPr="0013177B" w:rsidRDefault="0091072C" w:rsidP="0091072C">
      <w:pPr>
        <w:framePr w:w="10756" w:h="1088" w:hSpace="180" w:wrap="around" w:vAnchor="text" w:hAnchor="page" w:x="451" w:y="-1"/>
        <w:pBdr>
          <w:top w:val="single" w:sz="6" w:space="1" w:color="auto"/>
          <w:left w:val="single" w:sz="6" w:space="1" w:color="auto"/>
          <w:bottom w:val="single" w:sz="6" w:space="1" w:color="auto"/>
          <w:right w:val="single" w:sz="6" w:space="1" w:color="auto"/>
        </w:pBdr>
        <w:rPr>
          <w:rFonts w:ascii="Arial" w:hAnsi="Arial" w:cs="Arial"/>
          <w:color w:val="1F497D" w:themeColor="text2"/>
          <w:sz w:val="20"/>
          <w:szCs w:val="20"/>
        </w:rPr>
      </w:pPr>
    </w:p>
    <w:p w14:paraId="3892116D" w14:textId="77777777" w:rsidR="0091072C" w:rsidRPr="0013177B" w:rsidRDefault="0091072C" w:rsidP="0091072C">
      <w:pPr>
        <w:keepNext/>
        <w:framePr w:w="10756" w:h="1088" w:hSpace="180" w:wrap="around" w:vAnchor="text" w:hAnchor="page" w:x="451" w:y="-1"/>
        <w:pBdr>
          <w:top w:val="single" w:sz="6" w:space="1" w:color="auto"/>
          <w:left w:val="single" w:sz="6" w:space="1" w:color="auto"/>
          <w:bottom w:val="single" w:sz="6" w:space="1" w:color="auto"/>
          <w:right w:val="single" w:sz="6" w:space="1" w:color="auto"/>
        </w:pBdr>
        <w:rPr>
          <w:rFonts w:ascii="Arial" w:hAnsi="Arial" w:cs="Arial"/>
          <w:color w:val="1F497D" w:themeColor="text2"/>
          <w:sz w:val="20"/>
          <w:szCs w:val="20"/>
        </w:rPr>
      </w:pPr>
      <w:r w:rsidRPr="0013177B">
        <w:rPr>
          <w:rFonts w:ascii="Arial" w:hAnsi="Arial" w:cs="Arial"/>
          <w:noProof/>
          <w:color w:val="1F497D" w:themeColor="text2"/>
          <w:sz w:val="20"/>
          <w:szCs w:val="20"/>
          <w:lang w:val="en-GB" w:eastAsia="en-GB"/>
        </w:rPr>
        <w:drawing>
          <wp:inline distT="0" distB="0" distL="0" distR="0" wp14:anchorId="55755EF8" wp14:editId="7E761BAF">
            <wp:extent cx="2228850" cy="167415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0169" t="43082" r="49697" b="29090"/>
                    <a:stretch/>
                  </pic:blipFill>
                  <pic:spPr bwMode="auto">
                    <a:xfrm>
                      <a:off x="0" y="0"/>
                      <a:ext cx="2245061" cy="1686335"/>
                    </a:xfrm>
                    <a:prstGeom prst="rect">
                      <a:avLst/>
                    </a:prstGeom>
                    <a:ln>
                      <a:noFill/>
                    </a:ln>
                    <a:extLst>
                      <a:ext uri="{53640926-AAD7-44D8-BBD7-CCE9431645EC}">
                        <a14:shadowObscured xmlns:a14="http://schemas.microsoft.com/office/drawing/2010/main"/>
                      </a:ext>
                    </a:extLst>
                  </pic:spPr>
                </pic:pic>
              </a:graphicData>
            </a:graphic>
          </wp:inline>
        </w:drawing>
      </w:r>
    </w:p>
    <w:p w14:paraId="0A638813" w14:textId="1EDE8C24" w:rsidR="0091072C" w:rsidRPr="00C9575E" w:rsidRDefault="0091072C" w:rsidP="0091072C">
      <w:pPr>
        <w:pStyle w:val="Caption"/>
        <w:framePr w:w="10756" w:h="1088" w:hSpace="180" w:wrap="around" w:vAnchor="text" w:hAnchor="page" w:x="451" w:y="-1"/>
        <w:pBdr>
          <w:top w:val="single" w:sz="6" w:space="1" w:color="auto"/>
          <w:left w:val="single" w:sz="6" w:space="1" w:color="auto"/>
          <w:bottom w:val="single" w:sz="6" w:space="1" w:color="auto"/>
          <w:right w:val="single" w:sz="6" w:space="1" w:color="auto"/>
        </w:pBdr>
        <w:rPr>
          <w:rFonts w:ascii="Arial" w:hAnsi="Arial" w:cs="Arial"/>
          <w:color w:val="000000" w:themeColor="text1"/>
          <w:sz w:val="20"/>
          <w:szCs w:val="20"/>
        </w:rPr>
      </w:pPr>
      <w:r w:rsidRPr="00C9575E">
        <w:rPr>
          <w:rFonts w:ascii="Arial" w:hAnsi="Arial" w:cs="Arial"/>
          <w:color w:val="000000" w:themeColor="text1"/>
          <w:sz w:val="20"/>
          <w:szCs w:val="20"/>
        </w:rPr>
        <w:t xml:space="preserve">Figure </w:t>
      </w:r>
      <w:r w:rsidRPr="00C9575E">
        <w:rPr>
          <w:rFonts w:ascii="Arial" w:hAnsi="Arial" w:cs="Arial"/>
          <w:color w:val="000000" w:themeColor="text1"/>
          <w:sz w:val="20"/>
          <w:szCs w:val="20"/>
        </w:rPr>
        <w:fldChar w:fldCharType="begin"/>
      </w:r>
      <w:r w:rsidRPr="00C9575E">
        <w:rPr>
          <w:rFonts w:ascii="Arial" w:hAnsi="Arial" w:cs="Arial"/>
          <w:color w:val="000000" w:themeColor="text1"/>
          <w:sz w:val="20"/>
          <w:szCs w:val="20"/>
        </w:rPr>
        <w:instrText xml:space="preserve"> SEQ Figure \* ARABIC </w:instrText>
      </w:r>
      <w:r w:rsidRPr="00C9575E">
        <w:rPr>
          <w:rFonts w:ascii="Arial" w:hAnsi="Arial" w:cs="Arial"/>
          <w:color w:val="000000" w:themeColor="text1"/>
          <w:sz w:val="20"/>
          <w:szCs w:val="20"/>
        </w:rPr>
        <w:fldChar w:fldCharType="separate"/>
      </w:r>
      <w:r w:rsidRPr="00C9575E">
        <w:rPr>
          <w:rFonts w:ascii="Arial" w:hAnsi="Arial" w:cs="Arial"/>
          <w:noProof/>
          <w:color w:val="000000" w:themeColor="text1"/>
          <w:sz w:val="20"/>
          <w:szCs w:val="20"/>
        </w:rPr>
        <w:t>1</w:t>
      </w:r>
      <w:r w:rsidRPr="00C9575E">
        <w:rPr>
          <w:rFonts w:ascii="Arial" w:hAnsi="Arial" w:cs="Arial"/>
          <w:color w:val="000000" w:themeColor="text1"/>
          <w:sz w:val="20"/>
          <w:szCs w:val="20"/>
        </w:rPr>
        <w:fldChar w:fldCharType="end"/>
      </w:r>
      <w:r w:rsidRPr="00C9575E">
        <w:rPr>
          <w:rFonts w:ascii="Arial" w:hAnsi="Arial" w:cs="Arial"/>
          <w:color w:val="000000" w:themeColor="text1"/>
          <w:sz w:val="20"/>
          <w:szCs w:val="20"/>
        </w:rPr>
        <w:t>: a=0.05, ratio=1</w:t>
      </w:r>
    </w:p>
    <w:p w14:paraId="555363A8" w14:textId="0C23DB24" w:rsidR="0091072C" w:rsidRPr="00C9575E" w:rsidRDefault="0091072C" w:rsidP="0091072C">
      <w:pPr>
        <w:framePr w:w="10756" w:h="1088" w:hSpace="180" w:wrap="around" w:vAnchor="text" w:hAnchor="page" w:x="451" w:y="-1"/>
        <w:pBdr>
          <w:top w:val="single" w:sz="6" w:space="1" w:color="auto"/>
          <w:left w:val="single" w:sz="6" w:space="1" w:color="auto"/>
          <w:bottom w:val="single" w:sz="6" w:space="1" w:color="auto"/>
          <w:right w:val="single" w:sz="6" w:space="1" w:color="auto"/>
        </w:pBdr>
        <w:rPr>
          <w:rFonts w:ascii="Arial" w:hAnsi="Arial" w:cs="Arial"/>
          <w:color w:val="000000" w:themeColor="text1"/>
          <w:sz w:val="20"/>
          <w:szCs w:val="20"/>
        </w:rPr>
      </w:pPr>
      <w:r w:rsidRPr="00C9575E">
        <w:rPr>
          <w:rFonts w:ascii="Arial" w:hAnsi="Arial" w:cs="Arial"/>
          <w:color w:val="000000" w:themeColor="text1"/>
          <w:sz w:val="20"/>
          <w:szCs w:val="20"/>
        </w:rPr>
        <w:t xml:space="preserve">Our sample is also sufficient for a ratio of 2. So, </w:t>
      </w:r>
    </w:p>
    <w:p w14:paraId="1047350E" w14:textId="236466F4" w:rsidR="0091072C" w:rsidRDefault="0091072C" w:rsidP="0091072C">
      <w:pPr>
        <w:framePr w:w="10756" w:h="1088" w:hSpace="180" w:wrap="around" w:vAnchor="text" w:hAnchor="page" w:x="451" w:y="-1"/>
        <w:pBdr>
          <w:top w:val="single" w:sz="6" w:space="1" w:color="auto"/>
          <w:left w:val="single" w:sz="6" w:space="1" w:color="auto"/>
          <w:bottom w:val="single" w:sz="6" w:space="1" w:color="auto"/>
          <w:right w:val="single" w:sz="6" w:space="1" w:color="auto"/>
        </w:pBdr>
        <w:rPr>
          <w:rFonts w:ascii="Arial" w:hAnsi="Arial" w:cs="Arial"/>
          <w:color w:val="000000" w:themeColor="text1"/>
          <w:sz w:val="20"/>
          <w:szCs w:val="20"/>
        </w:rPr>
      </w:pPr>
      <w:r w:rsidRPr="00C9575E">
        <w:rPr>
          <w:rFonts w:ascii="Arial" w:hAnsi="Arial" w:cs="Arial"/>
          <w:color w:val="000000" w:themeColor="text1"/>
          <w:sz w:val="20"/>
          <w:szCs w:val="20"/>
        </w:rPr>
        <w:t>a=0.05, ratio 2</w:t>
      </w:r>
    </w:p>
    <w:p w14:paraId="5DCE66CC" w14:textId="77777777" w:rsidR="00C9575E" w:rsidRPr="00C9575E" w:rsidRDefault="00C9575E" w:rsidP="0091072C">
      <w:pPr>
        <w:framePr w:w="10756" w:h="1088" w:hSpace="180" w:wrap="around" w:vAnchor="text" w:hAnchor="page" w:x="451" w:y="-1"/>
        <w:pBdr>
          <w:top w:val="single" w:sz="6" w:space="1" w:color="auto"/>
          <w:left w:val="single" w:sz="6" w:space="1" w:color="auto"/>
          <w:bottom w:val="single" w:sz="6" w:space="1" w:color="auto"/>
          <w:right w:val="single" w:sz="6" w:space="1" w:color="auto"/>
        </w:pBdr>
        <w:rPr>
          <w:rFonts w:ascii="Arial" w:hAnsi="Arial" w:cs="Arial"/>
          <w:color w:val="000000" w:themeColor="text1"/>
          <w:sz w:val="20"/>
          <w:szCs w:val="20"/>
        </w:rPr>
      </w:pPr>
    </w:p>
    <w:p w14:paraId="16CB0FAA" w14:textId="3DF7E80B" w:rsidR="0091072C" w:rsidRPr="00C9575E" w:rsidRDefault="0091072C" w:rsidP="0091072C">
      <w:pPr>
        <w:framePr w:w="10756" w:h="1088" w:hSpace="180" w:wrap="around" w:vAnchor="text" w:hAnchor="page" w:x="451" w:y="-1"/>
        <w:pBdr>
          <w:top w:val="single" w:sz="6" w:space="1" w:color="auto"/>
          <w:left w:val="single" w:sz="6" w:space="1" w:color="auto"/>
          <w:bottom w:val="single" w:sz="6" w:space="1" w:color="auto"/>
          <w:right w:val="single" w:sz="6" w:space="1" w:color="auto"/>
        </w:pBdr>
        <w:rPr>
          <w:rFonts w:ascii="Arial" w:hAnsi="Arial" w:cs="Arial"/>
          <w:color w:val="000000" w:themeColor="text1"/>
          <w:sz w:val="20"/>
          <w:szCs w:val="20"/>
        </w:rPr>
      </w:pPr>
      <w:r w:rsidRPr="00C9575E">
        <w:rPr>
          <w:rFonts w:ascii="Arial" w:hAnsi="Arial" w:cs="Arial"/>
          <w:color w:val="000000" w:themeColor="text1"/>
          <w:sz w:val="20"/>
          <w:szCs w:val="20"/>
        </w:rPr>
        <w:t>- Required sample size for group 1: 19</w:t>
      </w:r>
    </w:p>
    <w:p w14:paraId="07249B5E" w14:textId="2F21C47B" w:rsidR="0091072C" w:rsidRPr="00C9575E" w:rsidRDefault="0091072C" w:rsidP="0091072C">
      <w:pPr>
        <w:framePr w:w="10756" w:h="1088" w:hSpace="180" w:wrap="around" w:vAnchor="text" w:hAnchor="page" w:x="451" w:y="-1"/>
        <w:pBdr>
          <w:top w:val="single" w:sz="6" w:space="1" w:color="auto"/>
          <w:left w:val="single" w:sz="6" w:space="1" w:color="auto"/>
          <w:bottom w:val="single" w:sz="6" w:space="1" w:color="auto"/>
          <w:right w:val="single" w:sz="6" w:space="1" w:color="auto"/>
        </w:pBdr>
        <w:rPr>
          <w:rFonts w:ascii="Arial" w:hAnsi="Arial" w:cs="Arial"/>
          <w:color w:val="000000" w:themeColor="text1"/>
          <w:sz w:val="20"/>
          <w:szCs w:val="20"/>
        </w:rPr>
      </w:pPr>
      <w:r w:rsidRPr="00C9575E">
        <w:rPr>
          <w:rFonts w:ascii="Arial" w:hAnsi="Arial" w:cs="Arial"/>
          <w:color w:val="000000" w:themeColor="text1"/>
          <w:sz w:val="20"/>
          <w:szCs w:val="20"/>
        </w:rPr>
        <w:t>- Required sample size for group 2: 38</w:t>
      </w:r>
    </w:p>
    <w:p w14:paraId="0DBF5641" w14:textId="77777777" w:rsidR="00C9575E" w:rsidRDefault="00C9575E" w:rsidP="0091072C">
      <w:pPr>
        <w:framePr w:w="10756" w:h="1088" w:hSpace="180" w:wrap="around" w:vAnchor="text" w:hAnchor="page" w:x="451" w:y="-1"/>
        <w:pBdr>
          <w:top w:val="single" w:sz="6" w:space="1" w:color="auto"/>
          <w:left w:val="single" w:sz="6" w:space="1" w:color="auto"/>
          <w:bottom w:val="single" w:sz="6" w:space="1" w:color="auto"/>
          <w:right w:val="single" w:sz="6" w:space="1" w:color="auto"/>
        </w:pBdr>
        <w:rPr>
          <w:rFonts w:ascii="Arial" w:hAnsi="Arial" w:cs="Arial"/>
          <w:color w:val="000000" w:themeColor="text1"/>
          <w:sz w:val="20"/>
          <w:szCs w:val="20"/>
        </w:rPr>
      </w:pPr>
    </w:p>
    <w:p w14:paraId="56C6EE33" w14:textId="7D746193" w:rsidR="0091072C" w:rsidRDefault="0091072C" w:rsidP="00F45B71">
      <w:pPr>
        <w:framePr w:w="10756" w:h="1088" w:hSpace="180" w:wrap="around" w:vAnchor="text" w:hAnchor="page" w:x="451" w:y="-1"/>
        <w:pBdr>
          <w:top w:val="single" w:sz="6" w:space="1" w:color="auto"/>
          <w:left w:val="single" w:sz="6" w:space="1" w:color="auto"/>
          <w:bottom w:val="single" w:sz="6" w:space="1" w:color="auto"/>
          <w:right w:val="single" w:sz="6" w:space="1" w:color="auto"/>
        </w:pBdr>
        <w:jc w:val="both"/>
        <w:rPr>
          <w:rFonts w:ascii="Arial" w:hAnsi="Arial" w:cs="Arial"/>
          <w:color w:val="000000" w:themeColor="text1"/>
          <w:sz w:val="20"/>
          <w:szCs w:val="20"/>
        </w:rPr>
      </w:pPr>
      <w:r w:rsidRPr="00C9575E">
        <w:rPr>
          <w:rFonts w:ascii="Arial" w:hAnsi="Arial" w:cs="Arial"/>
          <w:color w:val="000000" w:themeColor="text1"/>
          <w:sz w:val="20"/>
          <w:szCs w:val="20"/>
        </w:rPr>
        <w:t>Total sample size: 57</w:t>
      </w:r>
      <w:r w:rsidR="000D631D">
        <w:rPr>
          <w:rFonts w:ascii="Arial" w:hAnsi="Arial" w:cs="Arial"/>
          <w:color w:val="000000" w:themeColor="text1"/>
          <w:sz w:val="20"/>
          <w:szCs w:val="20"/>
        </w:rPr>
        <w:t xml:space="preserve">. </w:t>
      </w:r>
      <w:r w:rsidRPr="00C9575E">
        <w:rPr>
          <w:rFonts w:ascii="Arial" w:hAnsi="Arial" w:cs="Arial"/>
          <w:color w:val="000000" w:themeColor="text1"/>
          <w:sz w:val="20"/>
          <w:szCs w:val="20"/>
        </w:rPr>
        <w:t xml:space="preserve">Therefore our sample size is sufficient. </w:t>
      </w:r>
      <w:r w:rsidR="0013177B" w:rsidRPr="00C9575E">
        <w:rPr>
          <w:rFonts w:ascii="Arial" w:hAnsi="Arial" w:cs="Arial"/>
          <w:color w:val="000000" w:themeColor="text1"/>
          <w:sz w:val="20"/>
          <w:szCs w:val="20"/>
        </w:rPr>
        <w:t xml:space="preserve">We have more samples in each group than those required to </w:t>
      </w:r>
      <w:r w:rsidR="00D02173">
        <w:rPr>
          <w:rFonts w:ascii="Arial" w:hAnsi="Arial" w:cs="Arial"/>
          <w:color w:val="000000" w:themeColor="text1"/>
          <w:sz w:val="20"/>
          <w:szCs w:val="20"/>
        </w:rPr>
        <w:t>reliably test o</w:t>
      </w:r>
      <w:r w:rsidR="0013177B" w:rsidRPr="00C9575E">
        <w:rPr>
          <w:rFonts w:ascii="Arial" w:hAnsi="Arial" w:cs="Arial"/>
          <w:color w:val="000000" w:themeColor="text1"/>
          <w:sz w:val="20"/>
          <w:szCs w:val="20"/>
        </w:rPr>
        <w:t>ur hypothesis.</w:t>
      </w:r>
    </w:p>
    <w:p w14:paraId="74D04666" w14:textId="77777777" w:rsidR="00856629" w:rsidRPr="00C9575E" w:rsidRDefault="00856629" w:rsidP="0091072C">
      <w:pPr>
        <w:framePr w:w="10756" w:h="1088" w:hSpace="180" w:wrap="around" w:vAnchor="text" w:hAnchor="page" w:x="451" w:y="-1"/>
        <w:pBdr>
          <w:top w:val="single" w:sz="6" w:space="1" w:color="auto"/>
          <w:left w:val="single" w:sz="6" w:space="1" w:color="auto"/>
          <w:bottom w:val="single" w:sz="6" w:space="1" w:color="auto"/>
          <w:right w:val="single" w:sz="6" w:space="1" w:color="auto"/>
        </w:pBdr>
        <w:rPr>
          <w:rFonts w:ascii="Arial" w:hAnsi="Arial" w:cs="Arial"/>
          <w:color w:val="000000" w:themeColor="text1"/>
          <w:sz w:val="20"/>
          <w:szCs w:val="20"/>
        </w:rPr>
      </w:pPr>
    </w:p>
    <w:p w14:paraId="2C6C39AC" w14:textId="77777777" w:rsidR="0091072C" w:rsidRPr="0013177B" w:rsidRDefault="0091072C" w:rsidP="0091072C">
      <w:pPr>
        <w:keepNext/>
        <w:framePr w:w="10756" w:h="1088" w:hSpace="180" w:wrap="around" w:vAnchor="text" w:hAnchor="page" w:x="451" w:y="-1"/>
        <w:pBdr>
          <w:top w:val="single" w:sz="6" w:space="1" w:color="auto"/>
          <w:left w:val="single" w:sz="6" w:space="1" w:color="auto"/>
          <w:bottom w:val="single" w:sz="6" w:space="1" w:color="auto"/>
          <w:right w:val="single" w:sz="6" w:space="1" w:color="auto"/>
        </w:pBdr>
        <w:rPr>
          <w:rFonts w:ascii="Arial" w:hAnsi="Arial" w:cs="Arial"/>
          <w:color w:val="1F497D" w:themeColor="text2"/>
          <w:sz w:val="20"/>
          <w:szCs w:val="20"/>
        </w:rPr>
      </w:pPr>
      <w:r w:rsidRPr="0013177B">
        <w:rPr>
          <w:rFonts w:ascii="Arial" w:hAnsi="Arial" w:cs="Arial"/>
          <w:noProof/>
          <w:color w:val="1F497D" w:themeColor="text2"/>
          <w:sz w:val="20"/>
          <w:szCs w:val="20"/>
          <w:lang w:val="en-GB" w:eastAsia="en-GB"/>
        </w:rPr>
        <w:drawing>
          <wp:inline distT="0" distB="0" distL="0" distR="0" wp14:anchorId="5949C564" wp14:editId="171C8FD3">
            <wp:extent cx="2239990" cy="176212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0169" t="47273" r="48971" b="23056"/>
                    <a:stretch/>
                  </pic:blipFill>
                  <pic:spPr bwMode="auto">
                    <a:xfrm>
                      <a:off x="0" y="0"/>
                      <a:ext cx="2264962" cy="1781770"/>
                    </a:xfrm>
                    <a:prstGeom prst="rect">
                      <a:avLst/>
                    </a:prstGeom>
                    <a:ln>
                      <a:noFill/>
                    </a:ln>
                    <a:extLst>
                      <a:ext uri="{53640926-AAD7-44D8-BBD7-CCE9431645EC}">
                        <a14:shadowObscured xmlns:a14="http://schemas.microsoft.com/office/drawing/2010/main"/>
                      </a:ext>
                    </a:extLst>
                  </pic:spPr>
                </pic:pic>
              </a:graphicData>
            </a:graphic>
          </wp:inline>
        </w:drawing>
      </w:r>
    </w:p>
    <w:p w14:paraId="5E57EBEA" w14:textId="58A2AD69" w:rsidR="0091072C" w:rsidRPr="00856629" w:rsidRDefault="0091072C" w:rsidP="0091072C">
      <w:pPr>
        <w:pStyle w:val="Caption"/>
        <w:framePr w:w="10756" w:h="1088" w:hSpace="180" w:wrap="around" w:vAnchor="text" w:hAnchor="page" w:x="451" w:y="-1"/>
        <w:pBdr>
          <w:top w:val="single" w:sz="6" w:space="1" w:color="auto"/>
          <w:left w:val="single" w:sz="6" w:space="1" w:color="auto"/>
          <w:bottom w:val="single" w:sz="6" w:space="1" w:color="auto"/>
          <w:right w:val="single" w:sz="6" w:space="1" w:color="auto"/>
        </w:pBdr>
        <w:rPr>
          <w:rFonts w:ascii="Arial" w:hAnsi="Arial" w:cs="Arial"/>
          <w:color w:val="000000" w:themeColor="text1"/>
          <w:sz w:val="20"/>
          <w:szCs w:val="20"/>
        </w:rPr>
      </w:pPr>
      <w:r w:rsidRPr="00856629">
        <w:rPr>
          <w:rFonts w:ascii="Arial" w:hAnsi="Arial" w:cs="Arial"/>
          <w:color w:val="000000" w:themeColor="text1"/>
          <w:sz w:val="20"/>
          <w:szCs w:val="20"/>
        </w:rPr>
        <w:t xml:space="preserve">Figure </w:t>
      </w:r>
      <w:r w:rsidRPr="00856629">
        <w:rPr>
          <w:rFonts w:ascii="Arial" w:hAnsi="Arial" w:cs="Arial"/>
          <w:color w:val="000000" w:themeColor="text1"/>
          <w:sz w:val="20"/>
          <w:szCs w:val="20"/>
        </w:rPr>
        <w:fldChar w:fldCharType="begin"/>
      </w:r>
      <w:r w:rsidRPr="00856629">
        <w:rPr>
          <w:rFonts w:ascii="Arial" w:hAnsi="Arial" w:cs="Arial"/>
          <w:color w:val="000000" w:themeColor="text1"/>
          <w:sz w:val="20"/>
          <w:szCs w:val="20"/>
        </w:rPr>
        <w:instrText xml:space="preserve"> SEQ Figure \* ARABIC </w:instrText>
      </w:r>
      <w:r w:rsidRPr="00856629">
        <w:rPr>
          <w:rFonts w:ascii="Arial" w:hAnsi="Arial" w:cs="Arial"/>
          <w:color w:val="000000" w:themeColor="text1"/>
          <w:sz w:val="20"/>
          <w:szCs w:val="20"/>
        </w:rPr>
        <w:fldChar w:fldCharType="separate"/>
      </w:r>
      <w:r w:rsidRPr="00856629">
        <w:rPr>
          <w:rFonts w:ascii="Arial" w:hAnsi="Arial" w:cs="Arial"/>
          <w:noProof/>
          <w:color w:val="000000" w:themeColor="text1"/>
          <w:sz w:val="20"/>
          <w:szCs w:val="20"/>
        </w:rPr>
        <w:t>2</w:t>
      </w:r>
      <w:r w:rsidRPr="00856629">
        <w:rPr>
          <w:rFonts w:ascii="Arial" w:hAnsi="Arial" w:cs="Arial"/>
          <w:color w:val="000000" w:themeColor="text1"/>
          <w:sz w:val="20"/>
          <w:szCs w:val="20"/>
        </w:rPr>
        <w:fldChar w:fldCharType="end"/>
      </w:r>
      <w:r w:rsidRPr="00856629">
        <w:rPr>
          <w:rFonts w:ascii="Arial" w:hAnsi="Arial" w:cs="Arial"/>
          <w:color w:val="000000" w:themeColor="text1"/>
          <w:sz w:val="20"/>
          <w:szCs w:val="20"/>
        </w:rPr>
        <w:t>: a=0.05, ratio=2</w:t>
      </w:r>
    </w:p>
    <w:p w14:paraId="134B2A8D" w14:textId="2845B3B5" w:rsidR="0091072C" w:rsidRPr="00856629" w:rsidRDefault="0091072C" w:rsidP="00F45B71">
      <w:pPr>
        <w:framePr w:w="10756" w:h="1088" w:hSpace="180" w:wrap="around" w:vAnchor="text" w:hAnchor="page" w:x="451" w:y="-1"/>
        <w:pBdr>
          <w:top w:val="single" w:sz="6" w:space="1" w:color="auto"/>
          <w:left w:val="single" w:sz="6" w:space="1" w:color="auto"/>
          <w:bottom w:val="single" w:sz="6" w:space="1" w:color="auto"/>
          <w:right w:val="single" w:sz="6" w:space="1" w:color="auto"/>
        </w:pBdr>
        <w:jc w:val="both"/>
        <w:rPr>
          <w:rFonts w:ascii="Arial" w:hAnsi="Arial" w:cs="Arial"/>
          <w:color w:val="000000" w:themeColor="text1"/>
          <w:sz w:val="20"/>
          <w:szCs w:val="20"/>
        </w:rPr>
      </w:pPr>
      <w:r w:rsidRPr="00856629">
        <w:rPr>
          <w:rFonts w:ascii="Arial" w:hAnsi="Arial" w:cs="Arial"/>
          <w:color w:val="000000" w:themeColor="text1"/>
          <w:sz w:val="20"/>
          <w:szCs w:val="20"/>
        </w:rPr>
        <w:t>In the paper</w:t>
      </w:r>
      <w:r w:rsidR="00856629">
        <w:rPr>
          <w:rFonts w:ascii="Arial" w:hAnsi="Arial" w:cs="Arial"/>
          <w:color w:val="000000" w:themeColor="text1"/>
          <w:sz w:val="20"/>
          <w:szCs w:val="20"/>
        </w:rPr>
        <w:t>,</w:t>
      </w:r>
      <w:r w:rsidRPr="00856629">
        <w:rPr>
          <w:rFonts w:ascii="Arial" w:hAnsi="Arial" w:cs="Arial"/>
          <w:color w:val="000000" w:themeColor="text1"/>
          <w:sz w:val="20"/>
          <w:szCs w:val="20"/>
        </w:rPr>
        <w:t xml:space="preserve"> we report results of statistical tests</w:t>
      </w:r>
      <w:r w:rsidR="0013177B" w:rsidRPr="00856629">
        <w:rPr>
          <w:rFonts w:ascii="Arial" w:hAnsi="Arial" w:cs="Arial"/>
          <w:color w:val="000000" w:themeColor="text1"/>
          <w:sz w:val="20"/>
          <w:szCs w:val="20"/>
        </w:rPr>
        <w:t xml:space="preserve">, and we can assume that the hypotheses can be correctly accepted or rejected since the sample sizes are appropriate. </w:t>
      </w:r>
    </w:p>
    <w:p w14:paraId="16F3A93A" w14:textId="77777777" w:rsidR="0013177B" w:rsidRPr="0013177B" w:rsidRDefault="0013177B" w:rsidP="0091072C">
      <w:pPr>
        <w:framePr w:w="10756" w:h="1088" w:hSpace="180" w:wrap="around" w:vAnchor="text" w:hAnchor="page" w:x="451" w:y="-1"/>
        <w:pBdr>
          <w:top w:val="single" w:sz="6" w:space="1" w:color="auto"/>
          <w:left w:val="single" w:sz="6" w:space="1" w:color="auto"/>
          <w:bottom w:val="single" w:sz="6" w:space="1" w:color="auto"/>
          <w:right w:val="single" w:sz="6" w:space="1" w:color="auto"/>
        </w:pBdr>
        <w:rPr>
          <w:rFonts w:ascii="Arial" w:hAnsi="Arial" w:cs="Arial"/>
          <w:color w:val="1F497D" w:themeColor="text2"/>
          <w:sz w:val="20"/>
          <w:szCs w:val="20"/>
        </w:rPr>
      </w:pPr>
    </w:p>
    <w:p w14:paraId="4ED66E1D" w14:textId="77777777" w:rsidR="0091072C" w:rsidRPr="0091072C" w:rsidRDefault="0091072C" w:rsidP="0091072C">
      <w:pPr>
        <w:framePr w:w="10756" w:h="1088" w:hSpace="180" w:wrap="around" w:vAnchor="text" w:hAnchor="page" w:x="451" w:y="-1"/>
      </w:pPr>
    </w:p>
    <w:p w14:paraId="79281411" w14:textId="77777777" w:rsidR="0091072C" w:rsidRPr="0091072C" w:rsidRDefault="0091072C" w:rsidP="0091072C">
      <w:pPr>
        <w:framePr w:w="10756" w:h="1088" w:hSpace="180" w:wrap="around" w:vAnchor="text" w:hAnchor="page" w:x="451" w:y="-1"/>
      </w:pPr>
    </w:p>
    <w:p w14:paraId="73E37C65" w14:textId="77777777" w:rsidR="0091072C" w:rsidRPr="0091072C" w:rsidRDefault="0091072C" w:rsidP="0091072C">
      <w:pPr>
        <w:framePr w:w="10756" w:h="1088" w:hSpace="180" w:wrap="around" w:vAnchor="text" w:hAnchor="page" w:x="451" w:y="-1"/>
      </w:pPr>
    </w:p>
    <w:p w14:paraId="5A108429" w14:textId="77777777" w:rsidR="0091072C" w:rsidRPr="0091072C" w:rsidRDefault="0091072C" w:rsidP="0091072C">
      <w:pPr>
        <w:framePr w:w="10756" w:h="1088" w:hSpace="180" w:wrap="around" w:vAnchor="text" w:hAnchor="page" w:x="451" w:y="-1"/>
      </w:pPr>
    </w:p>
    <w:p w14:paraId="48D6232E" w14:textId="77777777" w:rsidR="0091072C" w:rsidRPr="0091072C" w:rsidRDefault="0091072C" w:rsidP="0091072C">
      <w:pPr>
        <w:framePr w:w="10756" w:h="1088" w:hSpace="180" w:wrap="around" w:vAnchor="text" w:hAnchor="page" w:x="451" w:y="-1"/>
      </w:pPr>
    </w:p>
    <w:p w14:paraId="051836B8" w14:textId="77777777" w:rsidR="0091072C" w:rsidRPr="0091072C" w:rsidRDefault="0091072C" w:rsidP="0091072C">
      <w:pPr>
        <w:framePr w:w="10756" w:h="1088" w:hSpace="180" w:wrap="around" w:vAnchor="text" w:hAnchor="page" w:x="451" w:y="-1"/>
      </w:pP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F45B71">
      <w:pPr>
        <w:pStyle w:val="ListParagraph"/>
        <w:numPr>
          <w:ilvl w:val="0"/>
          <w:numId w:val="2"/>
        </w:numPr>
        <w:jc w:val="both"/>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F45B71">
      <w:pPr>
        <w:pStyle w:val="ListParagraph"/>
        <w:numPr>
          <w:ilvl w:val="0"/>
          <w:numId w:val="2"/>
        </w:numPr>
        <w:jc w:val="both"/>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F45B71">
      <w:pPr>
        <w:pStyle w:val="ListParagraph"/>
        <w:numPr>
          <w:ilvl w:val="0"/>
          <w:numId w:val="2"/>
        </w:numPr>
        <w:jc w:val="both"/>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F45B71">
      <w:pPr>
        <w:pStyle w:val="ListParagraph"/>
        <w:numPr>
          <w:ilvl w:val="0"/>
          <w:numId w:val="2"/>
        </w:numPr>
        <w:jc w:val="both"/>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F45B71">
      <w:pPr>
        <w:pStyle w:val="ListParagraph"/>
        <w:numPr>
          <w:ilvl w:val="0"/>
          <w:numId w:val="2"/>
        </w:numPr>
        <w:jc w:val="both"/>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F45B71">
      <w:pPr>
        <w:pStyle w:val="ListParagraph"/>
        <w:numPr>
          <w:ilvl w:val="0"/>
          <w:numId w:val="2"/>
        </w:numPr>
        <w:jc w:val="both"/>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F45B71">
      <w:pPr>
        <w:jc w:val="both"/>
        <w:rPr>
          <w:rFonts w:asciiTheme="minorHAnsi" w:hAnsiTheme="minorHAnsi"/>
          <w:sz w:val="16"/>
          <w:szCs w:val="16"/>
        </w:rPr>
      </w:pPr>
    </w:p>
    <w:p w14:paraId="617C492D" w14:textId="04E32FA0" w:rsidR="00B330BD" w:rsidRDefault="00B330BD" w:rsidP="00F45B71">
      <w:pPr>
        <w:jc w:val="both"/>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1AA6AFF8" w14:textId="77777777" w:rsidR="004A0972" w:rsidRPr="00505C51" w:rsidRDefault="004A0972" w:rsidP="00B330BD">
      <w:pPr>
        <w:rPr>
          <w:rFonts w:asciiTheme="minorHAnsi" w:hAnsiTheme="minorHAnsi"/>
          <w:sz w:val="22"/>
          <w:szCs w:val="22"/>
          <w:lang w:val="en-GB"/>
        </w:rPr>
      </w:pPr>
    </w:p>
    <w:p w14:paraId="78102952" w14:textId="6798184C" w:rsidR="00B330BD" w:rsidRPr="00A15023" w:rsidRDefault="006868DA" w:rsidP="004B633E">
      <w:pPr>
        <w:pStyle w:val="ListParagraph"/>
        <w:framePr w:w="7817" w:h="1088" w:hSpace="180" w:wrap="around" w:vAnchor="text" w:hAnchor="page" w:x="1858" w:y="1"/>
        <w:numPr>
          <w:ilvl w:val="0"/>
          <w:numId w:val="8"/>
        </w:numPr>
        <w:pBdr>
          <w:top w:val="single" w:sz="6" w:space="1" w:color="auto"/>
          <w:left w:val="single" w:sz="6" w:space="1" w:color="auto"/>
          <w:bottom w:val="single" w:sz="6" w:space="1" w:color="auto"/>
          <w:right w:val="single" w:sz="6" w:space="1" w:color="auto"/>
        </w:pBdr>
        <w:jc w:val="both"/>
        <w:rPr>
          <w:rFonts w:ascii="Arial" w:hAnsi="Arial" w:cs="Arial"/>
          <w:sz w:val="20"/>
          <w:szCs w:val="20"/>
        </w:rPr>
      </w:pPr>
      <w:r w:rsidRPr="00A15023">
        <w:rPr>
          <w:rFonts w:ascii="Arial" w:hAnsi="Arial" w:cs="Arial"/>
          <w:sz w:val="20"/>
          <w:szCs w:val="20"/>
        </w:rPr>
        <w:t>As per standard practice, flow cytometric analysis was performed once on each clinical sample, with appropriate controls included in all experimental runs</w:t>
      </w:r>
      <w:r w:rsidR="00274783" w:rsidRPr="00A15023">
        <w:rPr>
          <w:rFonts w:ascii="Arial" w:hAnsi="Arial" w:cs="Arial"/>
          <w:sz w:val="20"/>
          <w:szCs w:val="20"/>
        </w:rPr>
        <w:t xml:space="preserve"> (Page 3, line 119; Figure 1). </w:t>
      </w:r>
      <w:r w:rsidR="00624AE9" w:rsidRPr="00A15023">
        <w:rPr>
          <w:rFonts w:ascii="Arial" w:hAnsi="Arial" w:cs="Arial"/>
          <w:sz w:val="20"/>
          <w:szCs w:val="20"/>
        </w:rPr>
        <w:t>The flow cytometry experiments have been reported according to the ‘</w:t>
      </w:r>
      <w:r w:rsidR="00624AE9" w:rsidRPr="00A15023">
        <w:rPr>
          <w:rFonts w:ascii="Arial" w:hAnsi="Arial" w:cs="Arial"/>
          <w:i/>
          <w:iCs/>
          <w:sz w:val="20"/>
          <w:szCs w:val="20"/>
        </w:rPr>
        <w:t>Minimum Information about a Flow Cytometry Experiment (MIFlowCyt)</w:t>
      </w:r>
      <w:r w:rsidR="00624AE9" w:rsidRPr="00A15023">
        <w:rPr>
          <w:rFonts w:ascii="Arial" w:hAnsi="Arial" w:cs="Arial"/>
          <w:sz w:val="20"/>
          <w:szCs w:val="20"/>
        </w:rPr>
        <w:t>’ guidelines</w:t>
      </w:r>
      <w:r w:rsidR="00624AE9" w:rsidRPr="00A15023">
        <w:rPr>
          <w:rFonts w:ascii="Arial" w:hAnsi="Arial" w:cs="Arial"/>
          <w:sz w:val="20"/>
          <w:szCs w:val="20"/>
        </w:rPr>
        <w:t xml:space="preserve">, as described </w:t>
      </w:r>
      <w:r w:rsidR="004B633E" w:rsidRPr="00A15023">
        <w:rPr>
          <w:rFonts w:ascii="Arial" w:hAnsi="Arial" w:cs="Arial"/>
          <w:sz w:val="20"/>
          <w:szCs w:val="20"/>
        </w:rPr>
        <w:t xml:space="preserve">by </w:t>
      </w:r>
      <w:hyperlink r:id="rId14" w:history="1">
        <w:r w:rsidR="004B633E" w:rsidRPr="00A15023">
          <w:rPr>
            <w:rStyle w:val="Hyperlink"/>
            <w:rFonts w:ascii="Arial" w:hAnsi="Arial" w:cs="Arial"/>
            <w:sz w:val="20"/>
            <w:szCs w:val="20"/>
          </w:rPr>
          <w:t>Lee JA et al., MIFlowCyt: The minimum information about a flow cytometry experiment. Cytometry Part A 2008, 73A: 926-30</w:t>
        </w:r>
      </w:hyperlink>
      <w:r w:rsidR="00A15023" w:rsidRPr="00A15023">
        <w:rPr>
          <w:rFonts w:ascii="Arial" w:hAnsi="Arial" w:cs="Arial"/>
          <w:sz w:val="20"/>
          <w:szCs w:val="20"/>
        </w:rPr>
        <w:t>;</w:t>
      </w:r>
    </w:p>
    <w:p w14:paraId="2D38CA1F" w14:textId="494F07C6" w:rsidR="00274783" w:rsidRPr="00A15023" w:rsidRDefault="006868DA" w:rsidP="004B633E">
      <w:pPr>
        <w:pStyle w:val="ListParagraph"/>
        <w:framePr w:w="7817" w:h="1088" w:hSpace="180" w:wrap="around" w:vAnchor="text" w:hAnchor="page" w:x="1858" w:y="1"/>
        <w:numPr>
          <w:ilvl w:val="0"/>
          <w:numId w:val="8"/>
        </w:numPr>
        <w:pBdr>
          <w:top w:val="single" w:sz="6" w:space="1" w:color="auto"/>
          <w:left w:val="single" w:sz="6" w:space="1" w:color="auto"/>
          <w:bottom w:val="single" w:sz="6" w:space="1" w:color="auto"/>
          <w:right w:val="single" w:sz="6" w:space="1" w:color="auto"/>
        </w:pBdr>
        <w:jc w:val="both"/>
        <w:rPr>
          <w:rFonts w:ascii="Arial" w:hAnsi="Arial" w:cs="Arial"/>
          <w:sz w:val="20"/>
          <w:szCs w:val="20"/>
        </w:rPr>
      </w:pPr>
      <w:r w:rsidRPr="00A15023">
        <w:rPr>
          <w:rFonts w:ascii="Arial" w:hAnsi="Arial" w:cs="Arial"/>
          <w:sz w:val="20"/>
          <w:szCs w:val="20"/>
        </w:rPr>
        <w:t>Only biological replicates were included (i.e. samples from different individuals attending the Urology Clinic at University Hospitals of Leicester (see Page 2, line</w:t>
      </w:r>
      <w:r w:rsidR="00274783" w:rsidRPr="00A15023">
        <w:rPr>
          <w:rFonts w:ascii="Arial" w:hAnsi="Arial" w:cs="Arial"/>
          <w:sz w:val="20"/>
          <w:szCs w:val="20"/>
        </w:rPr>
        <w:t>s 72-84; page 3, line 85; page 3, Table 1)</w:t>
      </w:r>
      <w:r w:rsidR="00A15023" w:rsidRPr="00A15023">
        <w:rPr>
          <w:rFonts w:ascii="Arial" w:hAnsi="Arial" w:cs="Arial"/>
          <w:sz w:val="20"/>
          <w:szCs w:val="20"/>
        </w:rPr>
        <w:t>;</w:t>
      </w:r>
    </w:p>
    <w:p w14:paraId="2AE7445B" w14:textId="16CC0F8B" w:rsidR="006868DA" w:rsidRPr="00A15023" w:rsidRDefault="00274783" w:rsidP="004B633E">
      <w:pPr>
        <w:pStyle w:val="ListParagraph"/>
        <w:framePr w:w="7817" w:h="1088" w:hSpace="180" w:wrap="around" w:vAnchor="text" w:hAnchor="page" w:x="1858" w:y="1"/>
        <w:numPr>
          <w:ilvl w:val="0"/>
          <w:numId w:val="8"/>
        </w:numPr>
        <w:pBdr>
          <w:top w:val="single" w:sz="6" w:space="1" w:color="auto"/>
          <w:left w:val="single" w:sz="6" w:space="1" w:color="auto"/>
          <w:bottom w:val="single" w:sz="6" w:space="1" w:color="auto"/>
          <w:right w:val="single" w:sz="6" w:space="1" w:color="auto"/>
        </w:pBdr>
        <w:jc w:val="both"/>
        <w:rPr>
          <w:rFonts w:ascii="Arial" w:hAnsi="Arial" w:cs="Arial"/>
          <w:sz w:val="20"/>
          <w:szCs w:val="20"/>
        </w:rPr>
      </w:pPr>
      <w:r w:rsidRPr="00A15023">
        <w:rPr>
          <w:rFonts w:ascii="Arial" w:hAnsi="Arial" w:cs="Arial"/>
          <w:sz w:val="20"/>
          <w:szCs w:val="20"/>
        </w:rPr>
        <w:t>No outliers were encountered</w:t>
      </w:r>
      <w:r w:rsidR="00A15023" w:rsidRPr="00A15023">
        <w:rPr>
          <w:rFonts w:ascii="Arial" w:hAnsi="Arial" w:cs="Arial"/>
          <w:sz w:val="20"/>
          <w:szCs w:val="20"/>
        </w:rPr>
        <w:t>;</w:t>
      </w:r>
    </w:p>
    <w:p w14:paraId="7C7334A4" w14:textId="62059F0E" w:rsidR="00274783" w:rsidRPr="00A15023" w:rsidRDefault="006C3386" w:rsidP="004B633E">
      <w:pPr>
        <w:pStyle w:val="ListParagraph"/>
        <w:framePr w:w="7817" w:h="1088" w:hSpace="180" w:wrap="around" w:vAnchor="text" w:hAnchor="page" w:x="1858" w:y="1"/>
        <w:numPr>
          <w:ilvl w:val="0"/>
          <w:numId w:val="8"/>
        </w:numPr>
        <w:pBdr>
          <w:top w:val="single" w:sz="6" w:space="1" w:color="auto"/>
          <w:left w:val="single" w:sz="6" w:space="1" w:color="auto"/>
          <w:bottom w:val="single" w:sz="6" w:space="1" w:color="auto"/>
          <w:right w:val="single" w:sz="6" w:space="1" w:color="auto"/>
        </w:pBdr>
        <w:jc w:val="both"/>
        <w:rPr>
          <w:rFonts w:ascii="Arial" w:hAnsi="Arial" w:cs="Arial"/>
          <w:sz w:val="20"/>
          <w:szCs w:val="20"/>
        </w:rPr>
      </w:pPr>
      <w:r w:rsidRPr="00A15023">
        <w:rPr>
          <w:rFonts w:ascii="Arial" w:hAnsi="Arial" w:cs="Arial"/>
          <w:sz w:val="20"/>
          <w:szCs w:val="20"/>
        </w:rPr>
        <w:t>No criteria for excluding / including data were applied</w:t>
      </w:r>
      <w:r w:rsidR="004B633E" w:rsidRPr="00A15023">
        <w:rPr>
          <w:rFonts w:ascii="Arial" w:hAnsi="Arial" w:cs="Arial"/>
          <w:sz w:val="20"/>
          <w:szCs w:val="20"/>
        </w:rPr>
        <w:t>.</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72229107" w14:textId="77777777" w:rsidR="004359E9" w:rsidRPr="004359E9" w:rsidRDefault="004359E9" w:rsidP="004359E9"/>
    <w:p w14:paraId="2DA0A165" w14:textId="5E7DD99F" w:rsidR="00444CB7" w:rsidRPr="00A15023" w:rsidRDefault="0045397E" w:rsidP="00BC2DEC">
      <w:pPr>
        <w:framePr w:w="7817" w:h="1088" w:hSpace="180" w:wrap="around" w:vAnchor="text" w:hAnchor="page" w:x="1904" w:y="21"/>
        <w:pBdr>
          <w:top w:val="single" w:sz="6" w:space="1" w:color="auto"/>
          <w:left w:val="single" w:sz="6" w:space="1" w:color="auto"/>
          <w:bottom w:val="single" w:sz="6" w:space="1" w:color="auto"/>
          <w:right w:val="single" w:sz="6" w:space="1" w:color="auto"/>
        </w:pBdr>
        <w:ind w:left="360"/>
        <w:jc w:val="both"/>
        <w:rPr>
          <w:rFonts w:ascii="Arial" w:hAnsi="Arial" w:cs="Arial"/>
          <w:color w:val="000000" w:themeColor="text1"/>
          <w:sz w:val="20"/>
          <w:szCs w:val="20"/>
        </w:rPr>
      </w:pPr>
      <w:r w:rsidRPr="00A15023">
        <w:rPr>
          <w:rFonts w:ascii="Arial" w:hAnsi="Arial" w:cs="Arial"/>
          <w:b/>
          <w:bCs/>
          <w:color w:val="000000" w:themeColor="text1"/>
          <w:sz w:val="20"/>
          <w:szCs w:val="20"/>
        </w:rPr>
        <w:t>Statistical analysis methods should be described and justified</w:t>
      </w:r>
      <w:r w:rsidR="00375914" w:rsidRPr="00A15023">
        <w:rPr>
          <w:rFonts w:ascii="Arial" w:hAnsi="Arial" w:cs="Arial"/>
          <w:b/>
          <w:bCs/>
          <w:color w:val="000000" w:themeColor="text1"/>
          <w:sz w:val="20"/>
          <w:szCs w:val="20"/>
        </w:rPr>
        <w:t xml:space="preserve">: </w:t>
      </w:r>
      <w:r w:rsidR="00375914" w:rsidRPr="00A15023">
        <w:rPr>
          <w:rFonts w:ascii="Arial" w:hAnsi="Arial" w:cs="Arial"/>
          <w:color w:val="000000" w:themeColor="text1"/>
          <w:sz w:val="20"/>
          <w:szCs w:val="20"/>
        </w:rPr>
        <w:t xml:space="preserve">Relevant information has been provided </w:t>
      </w:r>
      <w:r w:rsidRPr="00A15023">
        <w:rPr>
          <w:rFonts w:ascii="Arial" w:hAnsi="Arial" w:cs="Arial"/>
          <w:color w:val="000000" w:themeColor="text1"/>
          <w:sz w:val="20"/>
          <w:szCs w:val="20"/>
        </w:rPr>
        <w:t xml:space="preserve">throughout the paper. </w:t>
      </w:r>
      <w:r w:rsidR="00375914" w:rsidRPr="00A15023">
        <w:rPr>
          <w:rFonts w:ascii="Arial" w:hAnsi="Arial" w:cs="Arial"/>
          <w:color w:val="000000" w:themeColor="text1"/>
          <w:sz w:val="20"/>
          <w:szCs w:val="20"/>
        </w:rPr>
        <w:t>Application of the v</w:t>
      </w:r>
      <w:r w:rsidRPr="00A15023">
        <w:rPr>
          <w:rFonts w:ascii="Arial" w:hAnsi="Arial" w:cs="Arial"/>
          <w:color w:val="000000" w:themeColor="text1"/>
          <w:sz w:val="20"/>
          <w:szCs w:val="20"/>
        </w:rPr>
        <w:t xml:space="preserve">arious statistical methods used </w:t>
      </w:r>
      <w:r w:rsidR="00375914" w:rsidRPr="00A15023">
        <w:rPr>
          <w:rFonts w:ascii="Arial" w:hAnsi="Arial" w:cs="Arial"/>
          <w:color w:val="000000" w:themeColor="text1"/>
          <w:sz w:val="20"/>
          <w:szCs w:val="20"/>
        </w:rPr>
        <w:t>w</w:t>
      </w:r>
      <w:r w:rsidR="00375914" w:rsidRPr="00A15023">
        <w:rPr>
          <w:rFonts w:ascii="Arial" w:hAnsi="Arial" w:cs="Arial"/>
          <w:color w:val="000000" w:themeColor="text1"/>
          <w:sz w:val="20"/>
          <w:szCs w:val="20"/>
        </w:rPr>
        <w:t xml:space="preserve">as </w:t>
      </w:r>
      <w:r w:rsidRPr="00A15023">
        <w:rPr>
          <w:rFonts w:ascii="Arial" w:hAnsi="Arial" w:cs="Arial"/>
          <w:color w:val="000000" w:themeColor="text1"/>
          <w:sz w:val="20"/>
          <w:szCs w:val="20"/>
        </w:rPr>
        <w:t xml:space="preserve">based </w:t>
      </w:r>
      <w:r w:rsidR="00375914" w:rsidRPr="00A15023">
        <w:rPr>
          <w:rFonts w:ascii="Arial" w:hAnsi="Arial" w:cs="Arial"/>
          <w:color w:val="000000" w:themeColor="text1"/>
          <w:sz w:val="20"/>
          <w:szCs w:val="20"/>
        </w:rPr>
        <w:t xml:space="preserve">on established criteria and practice, </w:t>
      </w:r>
      <w:r w:rsidRPr="00A15023">
        <w:rPr>
          <w:rFonts w:ascii="Arial" w:hAnsi="Arial" w:cs="Arial"/>
          <w:color w:val="000000" w:themeColor="text1"/>
          <w:sz w:val="20"/>
          <w:szCs w:val="20"/>
        </w:rPr>
        <w:t>and these were justified. Statistical analysis methods have been described and</w:t>
      </w:r>
      <w:r w:rsidR="00444CB7" w:rsidRPr="00A15023">
        <w:rPr>
          <w:rFonts w:ascii="Arial" w:hAnsi="Arial" w:cs="Arial"/>
          <w:color w:val="000000" w:themeColor="text1"/>
          <w:sz w:val="20"/>
          <w:szCs w:val="20"/>
        </w:rPr>
        <w:t xml:space="preserve"> </w:t>
      </w:r>
      <w:r w:rsidR="00375914" w:rsidRPr="00A15023">
        <w:rPr>
          <w:rFonts w:ascii="Arial" w:hAnsi="Arial" w:cs="Arial"/>
          <w:color w:val="000000" w:themeColor="text1"/>
          <w:sz w:val="20"/>
          <w:szCs w:val="20"/>
        </w:rPr>
        <w:t xml:space="preserve">justified </w:t>
      </w:r>
      <w:r w:rsidR="00444CB7" w:rsidRPr="00A15023">
        <w:rPr>
          <w:rFonts w:ascii="Arial" w:hAnsi="Arial" w:cs="Arial"/>
          <w:color w:val="000000" w:themeColor="text1"/>
          <w:sz w:val="20"/>
          <w:szCs w:val="20"/>
        </w:rPr>
        <w:t>throughout the paper</w:t>
      </w:r>
      <w:r w:rsidR="0085277F" w:rsidRPr="00A15023">
        <w:rPr>
          <w:rFonts w:ascii="Arial" w:hAnsi="Arial" w:cs="Arial"/>
          <w:color w:val="000000" w:themeColor="text1"/>
          <w:sz w:val="20"/>
          <w:szCs w:val="20"/>
        </w:rPr>
        <w:t>:</w:t>
      </w:r>
    </w:p>
    <w:p w14:paraId="10CFA088" w14:textId="1DF85372" w:rsidR="0045397E" w:rsidRPr="00A15023" w:rsidRDefault="0045397E" w:rsidP="00375914">
      <w:pPr>
        <w:pStyle w:val="ListParagraph"/>
        <w:framePr w:w="7817" w:h="1088" w:hSpace="180" w:wrap="around" w:vAnchor="text" w:hAnchor="page" w:x="1904" w:y="21"/>
        <w:numPr>
          <w:ilvl w:val="0"/>
          <w:numId w:val="3"/>
        </w:numPr>
        <w:pBdr>
          <w:top w:val="single" w:sz="6" w:space="1" w:color="auto"/>
          <w:left w:val="single" w:sz="6" w:space="1" w:color="auto"/>
          <w:bottom w:val="single" w:sz="6" w:space="1" w:color="auto"/>
          <w:right w:val="single" w:sz="6" w:space="1" w:color="auto"/>
        </w:pBdr>
        <w:jc w:val="both"/>
        <w:rPr>
          <w:rFonts w:ascii="Arial" w:hAnsi="Arial" w:cs="Arial"/>
          <w:color w:val="000000" w:themeColor="text1"/>
          <w:sz w:val="20"/>
          <w:szCs w:val="20"/>
        </w:rPr>
      </w:pPr>
      <w:r w:rsidRPr="00A15023">
        <w:rPr>
          <w:rFonts w:ascii="Arial" w:hAnsi="Arial" w:cs="Arial"/>
          <w:b/>
          <w:bCs/>
          <w:i/>
          <w:iCs/>
          <w:color w:val="000000" w:themeColor="text1"/>
          <w:sz w:val="20"/>
          <w:szCs w:val="20"/>
        </w:rPr>
        <w:t xml:space="preserve">Materials </w:t>
      </w:r>
      <w:r w:rsidR="006C20A7" w:rsidRPr="00A15023">
        <w:rPr>
          <w:rFonts w:ascii="Arial" w:hAnsi="Arial" w:cs="Arial"/>
          <w:b/>
          <w:bCs/>
          <w:i/>
          <w:iCs/>
          <w:color w:val="000000" w:themeColor="text1"/>
          <w:sz w:val="20"/>
          <w:szCs w:val="20"/>
        </w:rPr>
        <w:t>section</w:t>
      </w:r>
      <w:r w:rsidR="00375914" w:rsidRPr="00A15023">
        <w:rPr>
          <w:rFonts w:ascii="Arial" w:hAnsi="Arial" w:cs="Arial"/>
          <w:b/>
          <w:bCs/>
          <w:i/>
          <w:iCs/>
          <w:color w:val="000000" w:themeColor="text1"/>
          <w:sz w:val="20"/>
          <w:szCs w:val="20"/>
        </w:rPr>
        <w:t>:</w:t>
      </w:r>
      <w:r w:rsidR="00375914" w:rsidRPr="00A15023">
        <w:rPr>
          <w:rFonts w:ascii="Arial" w:hAnsi="Arial" w:cs="Arial"/>
          <w:color w:val="000000" w:themeColor="text1"/>
          <w:sz w:val="20"/>
          <w:szCs w:val="20"/>
        </w:rPr>
        <w:t xml:space="preserve"> </w:t>
      </w:r>
      <w:r w:rsidRPr="00A15023">
        <w:rPr>
          <w:rFonts w:ascii="Arial" w:hAnsi="Arial" w:cs="Arial"/>
          <w:color w:val="000000" w:themeColor="text1"/>
          <w:sz w:val="20"/>
          <w:szCs w:val="20"/>
        </w:rPr>
        <w:t>S</w:t>
      </w:r>
      <w:r w:rsidR="00444CB7" w:rsidRPr="00A15023">
        <w:rPr>
          <w:rFonts w:ascii="Arial" w:hAnsi="Arial" w:cs="Arial"/>
          <w:color w:val="000000" w:themeColor="text1"/>
          <w:sz w:val="20"/>
          <w:szCs w:val="20"/>
        </w:rPr>
        <w:t>tatistical analysis subsection p</w:t>
      </w:r>
      <w:r w:rsidRPr="00A15023">
        <w:rPr>
          <w:rFonts w:ascii="Arial" w:hAnsi="Arial" w:cs="Arial"/>
          <w:color w:val="000000" w:themeColor="text1"/>
          <w:sz w:val="20"/>
          <w:szCs w:val="20"/>
        </w:rPr>
        <w:t>rovides descriptive statistics of the dataset and analysis</w:t>
      </w:r>
      <w:r w:rsidR="001253F7" w:rsidRPr="00A15023">
        <w:rPr>
          <w:rFonts w:ascii="Arial" w:hAnsi="Arial" w:cs="Arial"/>
          <w:color w:val="000000" w:themeColor="text1"/>
          <w:sz w:val="20"/>
          <w:szCs w:val="20"/>
        </w:rPr>
        <w:t>;</w:t>
      </w:r>
      <w:r w:rsidRPr="00A15023">
        <w:rPr>
          <w:rFonts w:ascii="Arial" w:hAnsi="Arial" w:cs="Arial"/>
          <w:color w:val="000000" w:themeColor="text1"/>
          <w:sz w:val="20"/>
          <w:szCs w:val="20"/>
        </w:rPr>
        <w:t xml:space="preserve"> </w:t>
      </w:r>
    </w:p>
    <w:p w14:paraId="18D3BDED" w14:textId="2B0AAE56" w:rsidR="00444CB7" w:rsidRPr="00A15023" w:rsidRDefault="00444CB7" w:rsidP="00375914">
      <w:pPr>
        <w:pStyle w:val="ListParagraph"/>
        <w:framePr w:w="7817" w:h="1088" w:hSpace="180" w:wrap="around" w:vAnchor="text" w:hAnchor="page" w:x="1904" w:y="21"/>
        <w:numPr>
          <w:ilvl w:val="0"/>
          <w:numId w:val="3"/>
        </w:numPr>
        <w:pBdr>
          <w:top w:val="single" w:sz="6" w:space="1" w:color="auto"/>
          <w:left w:val="single" w:sz="6" w:space="1" w:color="auto"/>
          <w:bottom w:val="single" w:sz="6" w:space="1" w:color="auto"/>
          <w:right w:val="single" w:sz="6" w:space="1" w:color="auto"/>
        </w:pBdr>
        <w:jc w:val="both"/>
        <w:rPr>
          <w:rFonts w:ascii="Arial" w:hAnsi="Arial" w:cs="Arial"/>
          <w:color w:val="000000" w:themeColor="text1"/>
          <w:sz w:val="20"/>
          <w:szCs w:val="20"/>
        </w:rPr>
      </w:pPr>
      <w:r w:rsidRPr="00A15023">
        <w:rPr>
          <w:rFonts w:ascii="Arial" w:hAnsi="Arial" w:cs="Arial"/>
          <w:b/>
          <w:bCs/>
          <w:i/>
          <w:iCs/>
          <w:color w:val="000000" w:themeColor="text1"/>
          <w:sz w:val="20"/>
          <w:szCs w:val="20"/>
        </w:rPr>
        <w:t>Materials</w:t>
      </w:r>
      <w:r w:rsidR="006C20A7" w:rsidRPr="00A15023">
        <w:rPr>
          <w:rFonts w:ascii="Arial" w:hAnsi="Arial" w:cs="Arial"/>
          <w:b/>
          <w:bCs/>
          <w:i/>
          <w:iCs/>
          <w:color w:val="000000" w:themeColor="text1"/>
          <w:sz w:val="20"/>
          <w:szCs w:val="20"/>
        </w:rPr>
        <w:t xml:space="preserve"> section</w:t>
      </w:r>
      <w:r w:rsidR="00375914" w:rsidRPr="00A15023">
        <w:rPr>
          <w:rFonts w:ascii="Arial" w:hAnsi="Arial" w:cs="Arial"/>
          <w:b/>
          <w:bCs/>
          <w:i/>
          <w:iCs/>
          <w:color w:val="000000" w:themeColor="text1"/>
          <w:sz w:val="20"/>
          <w:szCs w:val="20"/>
        </w:rPr>
        <w:t>:</w:t>
      </w:r>
      <w:r w:rsidR="00375914" w:rsidRPr="00A15023">
        <w:rPr>
          <w:rFonts w:ascii="Arial" w:hAnsi="Arial" w:cs="Arial"/>
          <w:color w:val="000000" w:themeColor="text1"/>
          <w:sz w:val="20"/>
          <w:szCs w:val="20"/>
        </w:rPr>
        <w:t xml:space="preserve"> ‘</w:t>
      </w:r>
      <w:r w:rsidR="0045397E" w:rsidRPr="00A15023">
        <w:rPr>
          <w:rFonts w:ascii="Arial" w:hAnsi="Arial" w:cs="Arial"/>
          <w:i/>
          <w:color w:val="000000" w:themeColor="text1"/>
          <w:sz w:val="20"/>
          <w:szCs w:val="20"/>
        </w:rPr>
        <w:t>Identifying Predictors from Immunophenotyping Data using a Genetic Algorithm</w:t>
      </w:r>
      <w:r w:rsidR="00375914" w:rsidRPr="00A15023">
        <w:rPr>
          <w:rFonts w:ascii="Arial" w:hAnsi="Arial" w:cs="Arial"/>
          <w:i/>
          <w:color w:val="000000" w:themeColor="text1"/>
          <w:sz w:val="20"/>
          <w:szCs w:val="20"/>
        </w:rPr>
        <w:t>’</w:t>
      </w:r>
      <w:r w:rsidR="0045397E" w:rsidRPr="00A15023">
        <w:rPr>
          <w:rFonts w:ascii="Arial" w:hAnsi="Arial" w:cs="Arial"/>
          <w:color w:val="000000" w:themeColor="text1"/>
          <w:sz w:val="20"/>
          <w:szCs w:val="20"/>
        </w:rPr>
        <w:t xml:space="preserve"> subsection</w:t>
      </w:r>
      <w:r w:rsidR="00375914" w:rsidRPr="00A15023">
        <w:rPr>
          <w:rFonts w:ascii="Arial" w:hAnsi="Arial" w:cs="Arial"/>
          <w:color w:val="000000" w:themeColor="text1"/>
          <w:sz w:val="20"/>
          <w:szCs w:val="20"/>
        </w:rPr>
        <w:t xml:space="preserve"> </w:t>
      </w:r>
      <w:r w:rsidR="0045397E" w:rsidRPr="00A15023">
        <w:rPr>
          <w:rFonts w:ascii="Arial" w:hAnsi="Arial" w:cs="Arial"/>
          <w:color w:val="000000" w:themeColor="text1"/>
          <w:sz w:val="20"/>
          <w:szCs w:val="20"/>
        </w:rPr>
        <w:t>describes how the Genetic Algorithm was applied to identify the best fingerprint for detecting prostate cancer in men with PSA levels&lt;20 ng</w:t>
      </w:r>
      <w:r w:rsidR="00375914" w:rsidRPr="00A15023">
        <w:rPr>
          <w:rFonts w:ascii="Arial" w:hAnsi="Arial" w:cs="Arial"/>
          <w:color w:val="000000" w:themeColor="text1"/>
          <w:sz w:val="20"/>
          <w:szCs w:val="20"/>
        </w:rPr>
        <w:t>.</w:t>
      </w:r>
      <w:r w:rsidR="0045397E" w:rsidRPr="00A15023">
        <w:rPr>
          <w:rFonts w:ascii="Arial" w:hAnsi="Arial" w:cs="Arial"/>
          <w:color w:val="000000" w:themeColor="text1"/>
          <w:sz w:val="20"/>
          <w:szCs w:val="20"/>
        </w:rPr>
        <w:t>ml</w:t>
      </w:r>
      <w:r w:rsidR="0045397E" w:rsidRPr="00A15023">
        <w:rPr>
          <w:rFonts w:ascii="Arial" w:hAnsi="Arial" w:cs="Arial"/>
          <w:color w:val="000000" w:themeColor="text1"/>
          <w:sz w:val="20"/>
          <w:szCs w:val="20"/>
          <w:vertAlign w:val="superscript"/>
        </w:rPr>
        <w:t>-1</w:t>
      </w:r>
      <w:r w:rsidRPr="00A15023">
        <w:rPr>
          <w:rFonts w:ascii="Arial" w:hAnsi="Arial" w:cs="Arial"/>
          <w:color w:val="000000" w:themeColor="text1"/>
          <w:sz w:val="20"/>
          <w:szCs w:val="20"/>
        </w:rPr>
        <w:t>. Reports results of statistical analysis</w:t>
      </w:r>
      <w:r w:rsidR="001253F7" w:rsidRPr="00A15023">
        <w:rPr>
          <w:rFonts w:ascii="Arial" w:hAnsi="Arial" w:cs="Arial"/>
          <w:color w:val="000000" w:themeColor="text1"/>
          <w:sz w:val="20"/>
          <w:szCs w:val="20"/>
        </w:rPr>
        <w:t>;</w:t>
      </w:r>
    </w:p>
    <w:p w14:paraId="4DA0AFFC" w14:textId="456FDCE1" w:rsidR="0045397E" w:rsidRPr="00A15023" w:rsidRDefault="006C20A7" w:rsidP="00375914">
      <w:pPr>
        <w:pStyle w:val="ListParagraph"/>
        <w:framePr w:w="7817" w:h="1088" w:hSpace="180" w:wrap="around" w:vAnchor="text" w:hAnchor="page" w:x="1904" w:y="21"/>
        <w:numPr>
          <w:ilvl w:val="0"/>
          <w:numId w:val="3"/>
        </w:numPr>
        <w:pBdr>
          <w:top w:val="single" w:sz="6" w:space="1" w:color="auto"/>
          <w:left w:val="single" w:sz="6" w:space="1" w:color="auto"/>
          <w:bottom w:val="single" w:sz="6" w:space="1" w:color="auto"/>
          <w:right w:val="single" w:sz="6" w:space="1" w:color="auto"/>
        </w:pBdr>
        <w:jc w:val="both"/>
        <w:rPr>
          <w:rFonts w:ascii="Arial" w:hAnsi="Arial" w:cs="Arial"/>
          <w:color w:val="000000" w:themeColor="text1"/>
          <w:sz w:val="20"/>
          <w:szCs w:val="20"/>
        </w:rPr>
      </w:pPr>
      <w:r w:rsidRPr="00A15023">
        <w:rPr>
          <w:rFonts w:ascii="Arial" w:hAnsi="Arial" w:cs="Arial"/>
          <w:b/>
          <w:bCs/>
          <w:i/>
          <w:iCs/>
          <w:color w:val="000000" w:themeColor="text1"/>
          <w:sz w:val="20"/>
          <w:szCs w:val="20"/>
        </w:rPr>
        <w:t>Results section</w:t>
      </w:r>
      <w:r w:rsidR="00375914" w:rsidRPr="00A15023">
        <w:rPr>
          <w:rFonts w:ascii="Arial" w:hAnsi="Arial" w:cs="Arial"/>
          <w:b/>
          <w:bCs/>
          <w:i/>
          <w:iCs/>
          <w:color w:val="000000" w:themeColor="text1"/>
          <w:sz w:val="20"/>
          <w:szCs w:val="20"/>
        </w:rPr>
        <w:t xml:space="preserve"> </w:t>
      </w:r>
      <w:r w:rsidR="0045397E" w:rsidRPr="00A15023">
        <w:rPr>
          <w:rFonts w:ascii="Arial" w:hAnsi="Arial" w:cs="Arial"/>
          <w:color w:val="000000" w:themeColor="text1"/>
          <w:sz w:val="20"/>
          <w:szCs w:val="20"/>
        </w:rPr>
        <w:t>provide</w:t>
      </w:r>
      <w:r w:rsidRPr="00A15023">
        <w:rPr>
          <w:rFonts w:ascii="Arial" w:hAnsi="Arial" w:cs="Arial"/>
          <w:color w:val="000000" w:themeColor="text1"/>
          <w:sz w:val="20"/>
          <w:szCs w:val="20"/>
        </w:rPr>
        <w:t>s</w:t>
      </w:r>
      <w:r w:rsidR="0045397E" w:rsidRPr="00A15023">
        <w:rPr>
          <w:rFonts w:ascii="Arial" w:hAnsi="Arial" w:cs="Arial"/>
          <w:color w:val="000000" w:themeColor="text1"/>
          <w:sz w:val="20"/>
          <w:szCs w:val="20"/>
        </w:rPr>
        <w:t xml:space="preserve"> detailed analysis of the results including statistical analysis of the findings</w:t>
      </w:r>
      <w:r w:rsidR="001253F7" w:rsidRPr="00A15023">
        <w:rPr>
          <w:rFonts w:ascii="Arial" w:hAnsi="Arial" w:cs="Arial"/>
          <w:color w:val="000000" w:themeColor="text1"/>
          <w:sz w:val="20"/>
          <w:szCs w:val="20"/>
        </w:rPr>
        <w:t>;</w:t>
      </w:r>
    </w:p>
    <w:p w14:paraId="5A3F6B79" w14:textId="6A851B7A" w:rsidR="0045397E" w:rsidRPr="00A15023" w:rsidRDefault="006C20A7" w:rsidP="00375914">
      <w:pPr>
        <w:pStyle w:val="ListParagraph"/>
        <w:framePr w:w="7817" w:h="1088" w:hSpace="180" w:wrap="around" w:vAnchor="text" w:hAnchor="page" w:x="1904" w:y="21"/>
        <w:numPr>
          <w:ilvl w:val="0"/>
          <w:numId w:val="3"/>
        </w:numPr>
        <w:pBdr>
          <w:top w:val="single" w:sz="6" w:space="1" w:color="auto"/>
          <w:left w:val="single" w:sz="6" w:space="1" w:color="auto"/>
          <w:bottom w:val="single" w:sz="6" w:space="1" w:color="auto"/>
          <w:right w:val="single" w:sz="6" w:space="1" w:color="auto"/>
        </w:pBdr>
        <w:jc w:val="both"/>
        <w:rPr>
          <w:rFonts w:ascii="Arial" w:hAnsi="Arial" w:cs="Arial"/>
          <w:color w:val="000000" w:themeColor="text1"/>
          <w:sz w:val="20"/>
          <w:szCs w:val="20"/>
        </w:rPr>
      </w:pPr>
      <w:r w:rsidRPr="00A15023">
        <w:rPr>
          <w:rFonts w:ascii="Arial" w:hAnsi="Arial" w:cs="Arial"/>
          <w:b/>
          <w:bCs/>
          <w:i/>
          <w:iCs/>
          <w:color w:val="000000" w:themeColor="text1"/>
          <w:sz w:val="20"/>
          <w:szCs w:val="20"/>
        </w:rPr>
        <w:t>Results section</w:t>
      </w:r>
      <w:r w:rsidR="00375914" w:rsidRPr="00A15023">
        <w:rPr>
          <w:rFonts w:ascii="Arial" w:hAnsi="Arial" w:cs="Arial"/>
          <w:b/>
          <w:bCs/>
          <w:i/>
          <w:iCs/>
          <w:color w:val="000000" w:themeColor="text1"/>
          <w:sz w:val="20"/>
          <w:szCs w:val="20"/>
        </w:rPr>
        <w:t>:</w:t>
      </w:r>
      <w:r w:rsidR="00375914" w:rsidRPr="00A15023">
        <w:rPr>
          <w:rFonts w:ascii="Arial" w:hAnsi="Arial" w:cs="Arial"/>
          <w:color w:val="000000" w:themeColor="text1"/>
          <w:sz w:val="20"/>
          <w:szCs w:val="20"/>
        </w:rPr>
        <w:t xml:space="preserve"> ‘S</w:t>
      </w:r>
      <w:r w:rsidR="00444CB7" w:rsidRPr="00A15023">
        <w:rPr>
          <w:rFonts w:ascii="Arial" w:hAnsi="Arial" w:cs="Arial"/>
          <w:i/>
          <w:color w:val="000000" w:themeColor="text1"/>
          <w:sz w:val="20"/>
          <w:szCs w:val="20"/>
        </w:rPr>
        <w:t>tatistically Significant Differences in Predictive Performance when using various Feature Subsets</w:t>
      </w:r>
      <w:r w:rsidR="00375914" w:rsidRPr="00A15023">
        <w:rPr>
          <w:rFonts w:ascii="Arial" w:hAnsi="Arial" w:cs="Arial"/>
          <w:i/>
          <w:color w:val="000000" w:themeColor="text1"/>
          <w:sz w:val="20"/>
          <w:szCs w:val="20"/>
        </w:rPr>
        <w:t>’</w:t>
      </w:r>
      <w:r w:rsidR="00444CB7" w:rsidRPr="00A15023">
        <w:rPr>
          <w:rFonts w:ascii="Arial" w:hAnsi="Arial" w:cs="Arial"/>
          <w:color w:val="000000" w:themeColor="text1"/>
          <w:sz w:val="20"/>
          <w:szCs w:val="20"/>
        </w:rPr>
        <w:t xml:space="preserve"> </w:t>
      </w:r>
      <w:r w:rsidR="00375914" w:rsidRPr="00A15023">
        <w:rPr>
          <w:rFonts w:ascii="Arial" w:hAnsi="Arial" w:cs="Arial"/>
          <w:color w:val="000000" w:themeColor="text1"/>
          <w:sz w:val="20"/>
          <w:szCs w:val="20"/>
        </w:rPr>
        <w:t xml:space="preserve">subsection </w:t>
      </w:r>
      <w:r w:rsidR="00444CB7" w:rsidRPr="00A15023">
        <w:rPr>
          <w:rFonts w:ascii="Arial" w:hAnsi="Arial" w:cs="Arial"/>
          <w:color w:val="000000" w:themeColor="text1"/>
          <w:sz w:val="20"/>
          <w:szCs w:val="20"/>
        </w:rPr>
        <w:t xml:space="preserve">discusses the results (a) average AUC values (b), Average Optimal ROC points (TPRs), (c) Average Optimal ROC points (FPRs), (d) Average Accuracy values. </w:t>
      </w:r>
      <w:r w:rsidRPr="00A15023">
        <w:rPr>
          <w:rFonts w:ascii="Arial" w:hAnsi="Arial" w:cs="Arial"/>
          <w:color w:val="000000" w:themeColor="text1"/>
          <w:sz w:val="20"/>
          <w:szCs w:val="20"/>
        </w:rPr>
        <w:t>A boxplot</w:t>
      </w:r>
      <w:r w:rsidR="00444CB7" w:rsidRPr="00A15023">
        <w:rPr>
          <w:rFonts w:ascii="Arial" w:hAnsi="Arial" w:cs="Arial"/>
          <w:color w:val="000000" w:themeColor="text1"/>
          <w:sz w:val="20"/>
          <w:szCs w:val="20"/>
        </w:rPr>
        <w:t xml:space="preserve"> contains 30 points, where each point is the average performance evaluation value (i.e. AUC, ORP TPR, ORP FPR, Accuracy) from one 10-fold run using the various feature sets  of the Friedman's two-way Analysis of Variance (ANOVA) test was used to determine whether statistically significant differences between the mean AUC values across the results obtained by the classifier when using the various subset of features exist. We report the results of </w:t>
      </w:r>
      <w:r w:rsidR="00444CB7" w:rsidRPr="00A15023">
        <w:rPr>
          <w:rFonts w:ascii="Arial" w:hAnsi="Arial" w:cs="Arial"/>
          <w:i/>
          <w:iCs/>
          <w:color w:val="000000" w:themeColor="text1"/>
          <w:sz w:val="20"/>
          <w:szCs w:val="20"/>
        </w:rPr>
        <w:t>ad hoc</w:t>
      </w:r>
      <w:r w:rsidR="00444CB7" w:rsidRPr="00A15023">
        <w:rPr>
          <w:rFonts w:ascii="Arial" w:hAnsi="Arial" w:cs="Arial"/>
          <w:color w:val="000000" w:themeColor="text1"/>
          <w:sz w:val="20"/>
          <w:szCs w:val="20"/>
        </w:rPr>
        <w:t xml:space="preserve"> tests, with p values and conference intervals</w:t>
      </w:r>
      <w:r w:rsidR="0085277F" w:rsidRPr="00A15023">
        <w:rPr>
          <w:rFonts w:ascii="Arial" w:hAnsi="Arial" w:cs="Arial"/>
          <w:color w:val="000000" w:themeColor="text1"/>
          <w:sz w:val="20"/>
          <w:szCs w:val="20"/>
        </w:rPr>
        <w:t>;</w:t>
      </w:r>
      <w:r w:rsidR="00444CB7" w:rsidRPr="00A15023">
        <w:rPr>
          <w:rFonts w:ascii="Arial" w:hAnsi="Arial" w:cs="Arial"/>
          <w:color w:val="000000" w:themeColor="text1"/>
          <w:sz w:val="20"/>
          <w:szCs w:val="20"/>
        </w:rPr>
        <w:t xml:space="preserve"> </w:t>
      </w:r>
    </w:p>
    <w:p w14:paraId="52D9E916" w14:textId="0BCA36DE" w:rsidR="006C20A7" w:rsidRPr="00A15023" w:rsidRDefault="00375914" w:rsidP="00375914">
      <w:pPr>
        <w:pStyle w:val="ListParagraph"/>
        <w:framePr w:w="7817" w:h="1088" w:hSpace="180" w:wrap="around" w:vAnchor="text" w:hAnchor="page" w:x="1904" w:y="21"/>
        <w:numPr>
          <w:ilvl w:val="0"/>
          <w:numId w:val="3"/>
        </w:numPr>
        <w:pBdr>
          <w:top w:val="single" w:sz="6" w:space="1" w:color="auto"/>
          <w:left w:val="single" w:sz="6" w:space="1" w:color="auto"/>
          <w:bottom w:val="single" w:sz="6" w:space="1" w:color="auto"/>
          <w:right w:val="single" w:sz="6" w:space="1" w:color="auto"/>
        </w:pBdr>
        <w:jc w:val="both"/>
        <w:rPr>
          <w:rFonts w:ascii="Arial" w:hAnsi="Arial" w:cs="Arial"/>
          <w:color w:val="000000" w:themeColor="text1"/>
          <w:sz w:val="20"/>
          <w:szCs w:val="20"/>
        </w:rPr>
      </w:pPr>
      <w:r w:rsidRPr="00A15023">
        <w:rPr>
          <w:rFonts w:ascii="Arial" w:hAnsi="Arial" w:cs="Arial"/>
          <w:i/>
          <w:iCs/>
          <w:color w:val="000000" w:themeColor="text1"/>
          <w:sz w:val="20"/>
          <w:szCs w:val="20"/>
        </w:rPr>
        <w:t>‘</w:t>
      </w:r>
      <w:r w:rsidR="006C20A7" w:rsidRPr="00A15023">
        <w:rPr>
          <w:rFonts w:ascii="Arial" w:hAnsi="Arial" w:cs="Arial"/>
          <w:i/>
          <w:iCs/>
          <w:color w:val="000000" w:themeColor="text1"/>
          <w:sz w:val="20"/>
          <w:szCs w:val="20"/>
        </w:rPr>
        <w:t>Predicting Low/Intermediate Risk Cancer vs. High Risk Cancer</w:t>
      </w:r>
      <w:r w:rsidRPr="00A15023">
        <w:rPr>
          <w:rFonts w:ascii="Arial" w:hAnsi="Arial" w:cs="Arial"/>
          <w:i/>
          <w:iCs/>
          <w:color w:val="000000" w:themeColor="text1"/>
          <w:sz w:val="20"/>
          <w:szCs w:val="20"/>
        </w:rPr>
        <w:t>’</w:t>
      </w:r>
      <w:r w:rsidR="006C20A7" w:rsidRPr="00A15023">
        <w:rPr>
          <w:rFonts w:ascii="Arial" w:hAnsi="Arial" w:cs="Arial"/>
          <w:color w:val="000000" w:themeColor="text1"/>
          <w:sz w:val="20"/>
          <w:szCs w:val="20"/>
        </w:rPr>
        <w:t xml:space="preserve"> </w:t>
      </w:r>
      <w:r w:rsidRPr="00A15023">
        <w:rPr>
          <w:rFonts w:ascii="Arial" w:hAnsi="Arial" w:cs="Arial"/>
          <w:color w:val="000000" w:themeColor="text1"/>
          <w:sz w:val="20"/>
          <w:szCs w:val="20"/>
        </w:rPr>
        <w:t xml:space="preserve">section </w:t>
      </w:r>
      <w:r w:rsidR="006C20A7" w:rsidRPr="00A15023">
        <w:rPr>
          <w:rFonts w:ascii="Arial" w:hAnsi="Arial" w:cs="Arial"/>
          <w:color w:val="000000" w:themeColor="text1"/>
          <w:sz w:val="20"/>
          <w:szCs w:val="20"/>
        </w:rPr>
        <w:t xml:space="preserve">also contains a statistical analysis of the dataset in </w:t>
      </w:r>
      <w:r w:rsidRPr="00A15023">
        <w:rPr>
          <w:rFonts w:ascii="Arial" w:hAnsi="Arial" w:cs="Arial"/>
          <w:color w:val="000000" w:themeColor="text1"/>
          <w:sz w:val="20"/>
          <w:szCs w:val="20"/>
        </w:rPr>
        <w:t xml:space="preserve">the </w:t>
      </w:r>
      <w:r w:rsidR="006C20A7" w:rsidRPr="00A15023">
        <w:rPr>
          <w:rFonts w:ascii="Arial" w:hAnsi="Arial" w:cs="Arial"/>
          <w:color w:val="000000" w:themeColor="text1"/>
          <w:sz w:val="20"/>
          <w:szCs w:val="20"/>
        </w:rPr>
        <w:t>“</w:t>
      </w:r>
      <w:r w:rsidR="006C20A7" w:rsidRPr="00A15023">
        <w:rPr>
          <w:rFonts w:ascii="Arial" w:hAnsi="Arial" w:cs="Arial"/>
          <w:i/>
          <w:iCs/>
          <w:color w:val="000000" w:themeColor="text1"/>
          <w:sz w:val="20"/>
          <w:szCs w:val="20"/>
        </w:rPr>
        <w:t xml:space="preserve">The cancer </w:t>
      </w:r>
      <w:r w:rsidRPr="00A15023">
        <w:rPr>
          <w:rFonts w:ascii="Arial" w:hAnsi="Arial" w:cs="Arial"/>
          <w:i/>
          <w:iCs/>
          <w:color w:val="000000" w:themeColor="text1"/>
          <w:sz w:val="20"/>
          <w:szCs w:val="20"/>
        </w:rPr>
        <w:t>p</w:t>
      </w:r>
      <w:r w:rsidR="006C20A7" w:rsidRPr="00A15023">
        <w:rPr>
          <w:rFonts w:ascii="Arial" w:hAnsi="Arial" w:cs="Arial"/>
          <w:i/>
          <w:iCs/>
          <w:color w:val="000000" w:themeColor="text1"/>
          <w:sz w:val="20"/>
          <w:szCs w:val="20"/>
        </w:rPr>
        <w:t>atients dataset</w:t>
      </w:r>
      <w:r w:rsidR="006C20A7" w:rsidRPr="00A15023">
        <w:rPr>
          <w:rFonts w:ascii="Arial" w:hAnsi="Arial" w:cs="Arial"/>
          <w:color w:val="000000" w:themeColor="text1"/>
          <w:sz w:val="20"/>
          <w:szCs w:val="20"/>
        </w:rPr>
        <w:t xml:space="preserve">” </w:t>
      </w:r>
      <w:r w:rsidRPr="00A15023">
        <w:rPr>
          <w:rFonts w:ascii="Arial" w:hAnsi="Arial" w:cs="Arial"/>
          <w:color w:val="000000" w:themeColor="text1"/>
          <w:sz w:val="20"/>
          <w:szCs w:val="20"/>
        </w:rPr>
        <w:t xml:space="preserve">section </w:t>
      </w:r>
      <w:r w:rsidR="006C20A7" w:rsidRPr="00A15023">
        <w:rPr>
          <w:rFonts w:ascii="Arial" w:hAnsi="Arial" w:cs="Arial"/>
          <w:color w:val="000000" w:themeColor="text1"/>
          <w:sz w:val="20"/>
          <w:szCs w:val="20"/>
        </w:rPr>
        <w:t>and the Results section.</w:t>
      </w:r>
    </w:p>
    <w:p w14:paraId="647ABA66" w14:textId="77777777" w:rsidR="00BC2DEC" w:rsidRPr="00A15023" w:rsidRDefault="00BC2DEC" w:rsidP="00BC2DEC">
      <w:pPr>
        <w:framePr w:w="7817" w:h="1088" w:hSpace="180" w:wrap="around" w:vAnchor="text" w:hAnchor="page" w:x="1904" w:y="21"/>
        <w:pBdr>
          <w:top w:val="single" w:sz="6" w:space="1" w:color="auto"/>
          <w:left w:val="single" w:sz="6" w:space="1" w:color="auto"/>
          <w:bottom w:val="single" w:sz="6" w:space="1" w:color="auto"/>
          <w:right w:val="single" w:sz="6" w:space="1" w:color="auto"/>
        </w:pBdr>
        <w:ind w:left="360"/>
        <w:jc w:val="both"/>
        <w:rPr>
          <w:rFonts w:ascii="Arial" w:hAnsi="Arial" w:cs="Arial"/>
          <w:b/>
          <w:bCs/>
          <w:color w:val="000000" w:themeColor="text1"/>
          <w:sz w:val="20"/>
          <w:szCs w:val="20"/>
        </w:rPr>
      </w:pPr>
    </w:p>
    <w:p w14:paraId="360BE860" w14:textId="71259C8A" w:rsidR="0045397E" w:rsidRPr="00A15023" w:rsidRDefault="0045397E" w:rsidP="00BC2DEC">
      <w:pPr>
        <w:framePr w:w="7817" w:h="1088" w:hSpace="180" w:wrap="around" w:vAnchor="text" w:hAnchor="page" w:x="1904" w:y="21"/>
        <w:pBdr>
          <w:top w:val="single" w:sz="6" w:space="1" w:color="auto"/>
          <w:left w:val="single" w:sz="6" w:space="1" w:color="auto"/>
          <w:bottom w:val="single" w:sz="6" w:space="1" w:color="auto"/>
          <w:right w:val="single" w:sz="6" w:space="1" w:color="auto"/>
        </w:pBdr>
        <w:ind w:left="360"/>
        <w:jc w:val="both"/>
        <w:rPr>
          <w:rFonts w:ascii="Arial" w:hAnsi="Arial" w:cs="Arial"/>
          <w:color w:val="000000" w:themeColor="text1"/>
          <w:sz w:val="20"/>
          <w:szCs w:val="20"/>
        </w:rPr>
      </w:pPr>
      <w:r w:rsidRPr="00A15023">
        <w:rPr>
          <w:rFonts w:ascii="Arial" w:hAnsi="Arial" w:cs="Arial"/>
          <w:b/>
          <w:bCs/>
          <w:color w:val="000000" w:themeColor="text1"/>
          <w:sz w:val="20"/>
          <w:szCs w:val="20"/>
        </w:rPr>
        <w:t>Raw data should be presented in figures whenever informative to do so (typically when N per group is less than 10)</w:t>
      </w:r>
      <w:r w:rsidR="00375914" w:rsidRPr="00A15023">
        <w:rPr>
          <w:rFonts w:ascii="Arial" w:hAnsi="Arial" w:cs="Arial"/>
          <w:b/>
          <w:bCs/>
          <w:color w:val="000000" w:themeColor="text1"/>
          <w:sz w:val="20"/>
          <w:szCs w:val="20"/>
        </w:rPr>
        <w:t>:</w:t>
      </w:r>
      <w:r w:rsidR="00375914" w:rsidRPr="00A15023">
        <w:rPr>
          <w:rFonts w:ascii="Arial" w:hAnsi="Arial" w:cs="Arial"/>
          <w:color w:val="000000" w:themeColor="text1"/>
          <w:sz w:val="20"/>
          <w:szCs w:val="20"/>
        </w:rPr>
        <w:t xml:space="preserve"> </w:t>
      </w:r>
      <w:r w:rsidRPr="00A15023">
        <w:rPr>
          <w:rFonts w:ascii="Arial" w:hAnsi="Arial" w:cs="Arial"/>
          <w:color w:val="000000" w:themeColor="text1"/>
          <w:sz w:val="20"/>
          <w:szCs w:val="20"/>
        </w:rPr>
        <w:t xml:space="preserve">This was not possible, however, we </w:t>
      </w:r>
      <w:r w:rsidR="00F45B71" w:rsidRPr="00F45B71">
        <w:rPr>
          <w:rFonts w:ascii="Arial" w:hAnsi="Arial" w:cs="Arial"/>
          <w:color w:val="000000" w:themeColor="text1"/>
          <w:sz w:val="20"/>
          <w:szCs w:val="20"/>
        </w:rPr>
        <w:t>descriptive statistics of the dataset</w:t>
      </w:r>
      <w:r w:rsidR="00F45B71" w:rsidRPr="00F45B71">
        <w:rPr>
          <w:rFonts w:ascii="Arial" w:hAnsi="Arial" w:cs="Arial"/>
          <w:color w:val="000000" w:themeColor="text1"/>
          <w:sz w:val="20"/>
          <w:szCs w:val="20"/>
        </w:rPr>
        <w:t xml:space="preserve"> </w:t>
      </w:r>
      <w:r w:rsidR="00F45B71">
        <w:rPr>
          <w:rFonts w:ascii="Arial" w:hAnsi="Arial" w:cs="Arial"/>
          <w:color w:val="000000" w:themeColor="text1"/>
          <w:sz w:val="20"/>
          <w:szCs w:val="20"/>
        </w:rPr>
        <w:t xml:space="preserve">are provided in </w:t>
      </w:r>
      <w:r w:rsidRPr="00A15023">
        <w:rPr>
          <w:rFonts w:ascii="Arial" w:hAnsi="Arial" w:cs="Arial"/>
          <w:color w:val="000000" w:themeColor="text1"/>
          <w:sz w:val="20"/>
          <w:szCs w:val="20"/>
        </w:rPr>
        <w:t>Table 3</w:t>
      </w:r>
      <w:bookmarkStart w:id="0" w:name="_GoBack"/>
      <w:bookmarkEnd w:id="0"/>
      <w:r w:rsidRPr="00A15023">
        <w:rPr>
          <w:rFonts w:ascii="Arial" w:hAnsi="Arial" w:cs="Arial"/>
          <w:color w:val="000000" w:themeColor="text1"/>
          <w:sz w:val="20"/>
          <w:szCs w:val="20"/>
        </w:rPr>
        <w:t xml:space="preserve">.  </w:t>
      </w:r>
    </w:p>
    <w:p w14:paraId="14C9FA11" w14:textId="77777777" w:rsidR="0045397E" w:rsidRPr="00375914" w:rsidRDefault="0045397E" w:rsidP="0045397E">
      <w:pPr>
        <w:pStyle w:val="ListParagraph"/>
        <w:rPr>
          <w:rFonts w:asciiTheme="minorHAnsi" w:hAnsiTheme="minorHAnsi"/>
          <w:color w:val="000000" w:themeColor="text1"/>
          <w:sz w:val="22"/>
          <w:szCs w:val="22"/>
        </w:rPr>
      </w:pPr>
    </w:p>
    <w:p w14:paraId="6F07AECE" w14:textId="77777777" w:rsidR="0045397E" w:rsidRPr="00375914" w:rsidRDefault="0045397E" w:rsidP="0045397E">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color w:val="000000" w:themeColor="text1"/>
          <w:sz w:val="22"/>
          <w:szCs w:val="22"/>
        </w:rPr>
      </w:pPr>
    </w:p>
    <w:p w14:paraId="095C97D1" w14:textId="05B600EC" w:rsidR="0045397E" w:rsidRPr="00A15023" w:rsidRDefault="0045397E" w:rsidP="00375914">
      <w:pPr>
        <w:pStyle w:val="ListParagraph"/>
        <w:framePr w:w="7817" w:h="1088" w:hSpace="180" w:wrap="around" w:vAnchor="text" w:hAnchor="page" w:x="1904" w:y="21"/>
        <w:numPr>
          <w:ilvl w:val="0"/>
          <w:numId w:val="3"/>
        </w:numPr>
        <w:pBdr>
          <w:top w:val="single" w:sz="6" w:space="1" w:color="auto"/>
          <w:left w:val="single" w:sz="6" w:space="1" w:color="auto"/>
          <w:bottom w:val="single" w:sz="6" w:space="1" w:color="auto"/>
          <w:right w:val="single" w:sz="6" w:space="1" w:color="auto"/>
        </w:pBdr>
        <w:jc w:val="both"/>
        <w:rPr>
          <w:rFonts w:ascii="Arial" w:hAnsi="Arial" w:cs="Arial"/>
          <w:color w:val="000000" w:themeColor="text1"/>
          <w:sz w:val="20"/>
          <w:szCs w:val="20"/>
          <w:lang w:val="en-GB"/>
        </w:rPr>
      </w:pPr>
      <w:r w:rsidRPr="00A15023">
        <w:rPr>
          <w:rFonts w:ascii="Arial" w:hAnsi="Arial" w:cs="Arial"/>
          <w:b/>
          <w:bCs/>
          <w:color w:val="000000" w:themeColor="text1"/>
          <w:sz w:val="20"/>
          <w:szCs w:val="20"/>
        </w:rPr>
        <w:t xml:space="preserve">For each experiment, you should identify the statistical tests used, exact values of N, definitions of center, methods of multiple test correction, and dispersion and precision measures (e.g., mean, median, SD, SEM, confidence intervals; </w:t>
      </w:r>
      <w:r w:rsidRPr="00A15023">
        <w:rPr>
          <w:rFonts w:ascii="Arial" w:hAnsi="Arial" w:cs="Arial"/>
          <w:b/>
          <w:bCs/>
          <w:color w:val="000000" w:themeColor="text1"/>
          <w:sz w:val="20"/>
          <w:szCs w:val="20"/>
          <w:lang w:val="en-GB"/>
        </w:rPr>
        <w:t>and, for the major substantive results, a measure of effect size (e.g., Pearson's r, Cohen's d</w:t>
      </w:r>
      <w:r w:rsidRPr="00A15023">
        <w:rPr>
          <w:rFonts w:ascii="Arial" w:hAnsi="Arial" w:cs="Arial"/>
          <w:b/>
          <w:bCs/>
          <w:color w:val="000000" w:themeColor="text1"/>
          <w:sz w:val="20"/>
          <w:szCs w:val="20"/>
        </w:rPr>
        <w:t>)</w:t>
      </w:r>
      <w:r w:rsidR="00375914" w:rsidRPr="00A15023">
        <w:rPr>
          <w:rFonts w:ascii="Arial" w:hAnsi="Arial" w:cs="Arial"/>
          <w:b/>
          <w:bCs/>
          <w:color w:val="000000" w:themeColor="text1"/>
          <w:sz w:val="20"/>
          <w:szCs w:val="20"/>
        </w:rPr>
        <w:t>:</w:t>
      </w:r>
      <w:r w:rsidR="00375914" w:rsidRPr="00A15023">
        <w:rPr>
          <w:rFonts w:ascii="Arial" w:hAnsi="Arial" w:cs="Arial"/>
          <w:color w:val="000000" w:themeColor="text1"/>
          <w:sz w:val="20"/>
          <w:szCs w:val="20"/>
        </w:rPr>
        <w:t xml:space="preserve"> </w:t>
      </w:r>
      <w:r w:rsidR="002B675A" w:rsidRPr="00A15023">
        <w:rPr>
          <w:rFonts w:ascii="Arial" w:hAnsi="Arial" w:cs="Arial"/>
          <w:color w:val="000000" w:themeColor="text1"/>
          <w:sz w:val="20"/>
          <w:szCs w:val="20"/>
        </w:rPr>
        <w:t>This information and justification for the tests used have been provided throughout</w:t>
      </w:r>
      <w:r w:rsidRPr="00A15023">
        <w:rPr>
          <w:rFonts w:ascii="Arial" w:hAnsi="Arial" w:cs="Arial"/>
          <w:color w:val="000000" w:themeColor="text1"/>
          <w:sz w:val="20"/>
          <w:szCs w:val="20"/>
        </w:rPr>
        <w:t xml:space="preserve">. </w:t>
      </w:r>
    </w:p>
    <w:p w14:paraId="68C0F4E6" w14:textId="4A66D786" w:rsidR="004359E9" w:rsidRPr="00A15023" w:rsidRDefault="0045397E" w:rsidP="00375914">
      <w:pPr>
        <w:pStyle w:val="ListParagraph"/>
        <w:framePr w:w="7817" w:h="1088" w:hSpace="180" w:wrap="around" w:vAnchor="text" w:hAnchor="page" w:x="1904" w:y="21"/>
        <w:numPr>
          <w:ilvl w:val="0"/>
          <w:numId w:val="3"/>
        </w:numPr>
        <w:pBdr>
          <w:top w:val="single" w:sz="6" w:space="1" w:color="auto"/>
          <w:left w:val="single" w:sz="6" w:space="1" w:color="auto"/>
          <w:bottom w:val="single" w:sz="6" w:space="1" w:color="auto"/>
          <w:right w:val="single" w:sz="6" w:space="1" w:color="auto"/>
        </w:pBdr>
        <w:jc w:val="both"/>
        <w:rPr>
          <w:rFonts w:ascii="Arial" w:hAnsi="Arial" w:cs="Arial"/>
          <w:color w:val="000000" w:themeColor="text1"/>
          <w:sz w:val="20"/>
          <w:szCs w:val="20"/>
          <w:lang w:val="en-GB"/>
        </w:rPr>
      </w:pPr>
      <w:r w:rsidRPr="00A15023">
        <w:rPr>
          <w:rFonts w:ascii="Arial" w:hAnsi="Arial" w:cs="Arial"/>
          <w:b/>
          <w:bCs/>
          <w:color w:val="000000" w:themeColor="text1"/>
          <w:sz w:val="20"/>
          <w:szCs w:val="20"/>
        </w:rPr>
        <w:t>Report exact p-values wherever possible alongside the summary statistics and 95% confidence intervals.</w:t>
      </w:r>
      <w:r w:rsidRPr="00A15023">
        <w:rPr>
          <w:rFonts w:ascii="Arial" w:hAnsi="Arial" w:cs="Arial"/>
          <w:color w:val="000000" w:themeColor="text1"/>
          <w:sz w:val="20"/>
          <w:szCs w:val="20"/>
        </w:rPr>
        <w:t xml:space="preserve"> </w:t>
      </w:r>
      <w:r w:rsidRPr="00A15023">
        <w:rPr>
          <w:rFonts w:ascii="Arial" w:hAnsi="Arial" w:cs="Arial"/>
          <w:b/>
          <w:bCs/>
          <w:color w:val="000000" w:themeColor="text1"/>
          <w:sz w:val="20"/>
          <w:szCs w:val="20"/>
        </w:rPr>
        <w:t>These should be reported for all key questions and not only when the p-value is less than 0.05</w:t>
      </w:r>
      <w:r w:rsidR="00840F08" w:rsidRPr="00A15023">
        <w:rPr>
          <w:rFonts w:ascii="Arial" w:hAnsi="Arial" w:cs="Arial"/>
          <w:b/>
          <w:bCs/>
          <w:color w:val="000000" w:themeColor="text1"/>
          <w:sz w:val="20"/>
          <w:szCs w:val="20"/>
        </w:rPr>
        <w:t>:</w:t>
      </w:r>
      <w:r w:rsidR="00840F08" w:rsidRPr="00A15023">
        <w:rPr>
          <w:rFonts w:ascii="Arial" w:hAnsi="Arial" w:cs="Arial"/>
          <w:color w:val="000000" w:themeColor="text1"/>
          <w:sz w:val="20"/>
          <w:szCs w:val="20"/>
        </w:rPr>
        <w:t xml:space="preserve"> </w:t>
      </w:r>
      <w:r w:rsidR="002B675A" w:rsidRPr="00A15023">
        <w:rPr>
          <w:rFonts w:ascii="Arial" w:hAnsi="Arial" w:cs="Arial"/>
          <w:color w:val="000000" w:themeColor="text1"/>
          <w:sz w:val="20"/>
          <w:szCs w:val="20"/>
        </w:rPr>
        <w:t>This information has been provided throughout.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03269567" w14:textId="648AEB17" w:rsidR="00EC1AF8" w:rsidRPr="007B5254" w:rsidRDefault="006C20A7" w:rsidP="00CB6FBF">
      <w:pPr>
        <w:pStyle w:val="ListParagraph"/>
        <w:framePr w:w="7817" w:h="1088" w:hSpace="180" w:wrap="around" w:vAnchor="text" w:hAnchor="page" w:x="1904" w:y="1"/>
        <w:numPr>
          <w:ilvl w:val="0"/>
          <w:numId w:val="9"/>
        </w:numPr>
        <w:pBdr>
          <w:top w:val="single" w:sz="6" w:space="1" w:color="auto"/>
          <w:left w:val="single" w:sz="6" w:space="1" w:color="auto"/>
          <w:bottom w:val="single" w:sz="6" w:space="1" w:color="auto"/>
          <w:right w:val="single" w:sz="6" w:space="1" w:color="auto"/>
        </w:pBdr>
        <w:jc w:val="both"/>
        <w:rPr>
          <w:rFonts w:ascii="Arial" w:hAnsi="Arial" w:cs="Arial"/>
          <w:color w:val="000000" w:themeColor="text1"/>
          <w:sz w:val="20"/>
          <w:szCs w:val="20"/>
        </w:rPr>
      </w:pPr>
      <w:r w:rsidRPr="007B5254">
        <w:rPr>
          <w:rFonts w:ascii="Arial" w:hAnsi="Arial" w:cs="Arial"/>
          <w:color w:val="000000" w:themeColor="text1"/>
          <w:sz w:val="20"/>
          <w:szCs w:val="20"/>
        </w:rPr>
        <w:t xml:space="preserve">Details </w:t>
      </w:r>
      <w:r w:rsidR="00D3549B" w:rsidRPr="007B5254">
        <w:rPr>
          <w:rFonts w:ascii="Arial" w:hAnsi="Arial" w:cs="Arial"/>
          <w:color w:val="000000" w:themeColor="text1"/>
          <w:sz w:val="20"/>
          <w:szCs w:val="20"/>
        </w:rPr>
        <w:t xml:space="preserve">on </w:t>
      </w:r>
      <w:r w:rsidR="00EC1AF8" w:rsidRPr="007B5254">
        <w:rPr>
          <w:rFonts w:ascii="Arial" w:hAnsi="Arial" w:cs="Arial"/>
          <w:color w:val="000000" w:themeColor="text1"/>
          <w:sz w:val="20"/>
          <w:szCs w:val="20"/>
        </w:rPr>
        <w:t>the individuals from whom samples were collected are provided in the Materials section (‘</w:t>
      </w:r>
      <w:r w:rsidR="00EC1AF8" w:rsidRPr="007B5254">
        <w:rPr>
          <w:rFonts w:ascii="Arial" w:hAnsi="Arial" w:cs="Arial"/>
          <w:i/>
          <w:iCs/>
          <w:color w:val="000000" w:themeColor="text1"/>
          <w:sz w:val="20"/>
          <w:szCs w:val="20"/>
        </w:rPr>
        <w:t>Data Collection</w:t>
      </w:r>
      <w:r w:rsidR="00EC1AF8" w:rsidRPr="007B5254">
        <w:rPr>
          <w:rFonts w:ascii="Arial" w:hAnsi="Arial" w:cs="Arial"/>
          <w:color w:val="000000" w:themeColor="text1"/>
          <w:sz w:val="20"/>
          <w:szCs w:val="20"/>
        </w:rPr>
        <w:t>’)</w:t>
      </w:r>
      <w:r w:rsidR="001253F7" w:rsidRPr="007B5254">
        <w:rPr>
          <w:rFonts w:ascii="Arial" w:hAnsi="Arial" w:cs="Arial"/>
          <w:color w:val="000000" w:themeColor="text1"/>
          <w:sz w:val="20"/>
          <w:szCs w:val="20"/>
        </w:rPr>
        <w:t>;</w:t>
      </w:r>
    </w:p>
    <w:p w14:paraId="7F9EE8FD" w14:textId="4069CA71" w:rsidR="00EC1AF8" w:rsidRPr="007B5254" w:rsidRDefault="00EC1AF8" w:rsidP="00CB6FBF">
      <w:pPr>
        <w:pStyle w:val="ListParagraph"/>
        <w:framePr w:w="7817" w:h="1088" w:hSpace="180" w:wrap="around" w:vAnchor="text" w:hAnchor="page" w:x="1904" w:y="1"/>
        <w:numPr>
          <w:ilvl w:val="0"/>
          <w:numId w:val="9"/>
        </w:numPr>
        <w:pBdr>
          <w:top w:val="single" w:sz="6" w:space="1" w:color="auto"/>
          <w:left w:val="single" w:sz="6" w:space="1" w:color="auto"/>
          <w:bottom w:val="single" w:sz="6" w:space="1" w:color="auto"/>
          <w:right w:val="single" w:sz="6" w:space="1" w:color="auto"/>
        </w:pBdr>
        <w:jc w:val="both"/>
        <w:rPr>
          <w:rFonts w:ascii="Arial" w:hAnsi="Arial" w:cs="Arial"/>
          <w:color w:val="000000" w:themeColor="text1"/>
          <w:sz w:val="20"/>
          <w:szCs w:val="20"/>
        </w:rPr>
      </w:pPr>
      <w:r w:rsidRPr="007B5254">
        <w:rPr>
          <w:rFonts w:ascii="Arial" w:hAnsi="Arial" w:cs="Arial"/>
          <w:color w:val="000000" w:themeColor="text1"/>
          <w:sz w:val="20"/>
          <w:szCs w:val="20"/>
        </w:rPr>
        <w:t>No allocation to treatment method and/or randomisation was undertaken</w:t>
      </w:r>
      <w:r w:rsidR="001253F7" w:rsidRPr="007B5254">
        <w:rPr>
          <w:rFonts w:ascii="Arial" w:hAnsi="Arial" w:cs="Arial"/>
          <w:color w:val="000000" w:themeColor="text1"/>
          <w:sz w:val="20"/>
          <w:szCs w:val="20"/>
        </w:rPr>
        <w:t>;</w:t>
      </w:r>
    </w:p>
    <w:p w14:paraId="56886EE9" w14:textId="358818E8" w:rsidR="00EC1AF8" w:rsidRPr="007B5254" w:rsidRDefault="00EC1AF8" w:rsidP="00CB6FBF">
      <w:pPr>
        <w:pStyle w:val="ListParagraph"/>
        <w:framePr w:w="7817" w:h="1088" w:hSpace="180" w:wrap="around" w:vAnchor="text" w:hAnchor="page" w:x="1904" w:y="1"/>
        <w:numPr>
          <w:ilvl w:val="0"/>
          <w:numId w:val="9"/>
        </w:numPr>
        <w:pBdr>
          <w:top w:val="single" w:sz="6" w:space="1" w:color="auto"/>
          <w:left w:val="single" w:sz="6" w:space="1" w:color="auto"/>
          <w:bottom w:val="single" w:sz="6" w:space="1" w:color="auto"/>
          <w:right w:val="single" w:sz="6" w:space="1" w:color="auto"/>
        </w:pBdr>
        <w:jc w:val="both"/>
        <w:rPr>
          <w:rFonts w:ascii="Arial" w:hAnsi="Arial" w:cs="Arial"/>
          <w:color w:val="000000" w:themeColor="text1"/>
          <w:sz w:val="20"/>
          <w:szCs w:val="20"/>
        </w:rPr>
      </w:pPr>
      <w:r w:rsidRPr="007B5254">
        <w:rPr>
          <w:rFonts w:ascii="Arial" w:hAnsi="Arial" w:cs="Arial"/>
          <w:color w:val="000000" w:themeColor="text1"/>
          <w:sz w:val="20"/>
          <w:szCs w:val="20"/>
        </w:rPr>
        <w:t>No masking was used</w:t>
      </w:r>
      <w:r w:rsidR="001253F7" w:rsidRPr="007B5254">
        <w:rPr>
          <w:rFonts w:ascii="Arial" w:hAnsi="Arial" w:cs="Arial"/>
          <w:color w:val="000000" w:themeColor="text1"/>
          <w:sz w:val="20"/>
          <w:szCs w:val="20"/>
        </w:rPr>
        <w:t>;</w:t>
      </w:r>
    </w:p>
    <w:p w14:paraId="1378AEC5" w14:textId="41305D8A" w:rsidR="00CB6FBF" w:rsidRPr="007B5254" w:rsidRDefault="00CB6FBF" w:rsidP="00CB6FBF">
      <w:pPr>
        <w:pStyle w:val="ListParagraph"/>
        <w:framePr w:w="7817" w:h="1088" w:hSpace="180" w:wrap="around" w:vAnchor="text" w:hAnchor="page" w:x="1904" w:y="1"/>
        <w:numPr>
          <w:ilvl w:val="0"/>
          <w:numId w:val="9"/>
        </w:numPr>
        <w:pBdr>
          <w:top w:val="single" w:sz="6" w:space="1" w:color="auto"/>
          <w:left w:val="single" w:sz="6" w:space="1" w:color="auto"/>
          <w:bottom w:val="single" w:sz="6" w:space="1" w:color="auto"/>
          <w:right w:val="single" w:sz="6" w:space="1" w:color="auto"/>
        </w:pBdr>
        <w:jc w:val="both"/>
        <w:rPr>
          <w:rFonts w:ascii="Arial" w:hAnsi="Arial" w:cs="Arial"/>
          <w:color w:val="000000" w:themeColor="text1"/>
          <w:sz w:val="20"/>
          <w:szCs w:val="20"/>
        </w:rPr>
      </w:pPr>
      <w:r w:rsidRPr="007B5254">
        <w:rPr>
          <w:rFonts w:ascii="Arial" w:hAnsi="Arial" w:cs="Arial"/>
          <w:color w:val="000000" w:themeColor="text1"/>
          <w:sz w:val="20"/>
          <w:szCs w:val="20"/>
        </w:rPr>
        <w:t xml:space="preserve">An </w:t>
      </w:r>
      <w:r w:rsidR="00EC1AF8" w:rsidRPr="007B5254">
        <w:rPr>
          <w:rFonts w:ascii="Arial" w:hAnsi="Arial" w:cs="Arial"/>
          <w:color w:val="000000" w:themeColor="text1"/>
          <w:sz w:val="20"/>
          <w:szCs w:val="20"/>
        </w:rPr>
        <w:t xml:space="preserve">Ethics </w:t>
      </w:r>
      <w:r w:rsidRPr="007B5254">
        <w:rPr>
          <w:rFonts w:ascii="Arial" w:hAnsi="Arial" w:cs="Arial"/>
          <w:color w:val="000000" w:themeColor="text1"/>
          <w:sz w:val="20"/>
          <w:szCs w:val="20"/>
        </w:rPr>
        <w:t>S</w:t>
      </w:r>
      <w:r w:rsidR="00EC1AF8" w:rsidRPr="007B5254">
        <w:rPr>
          <w:rFonts w:ascii="Arial" w:hAnsi="Arial" w:cs="Arial"/>
          <w:color w:val="000000" w:themeColor="text1"/>
          <w:sz w:val="20"/>
          <w:szCs w:val="20"/>
        </w:rPr>
        <w:t xml:space="preserve">tatement </w:t>
      </w:r>
      <w:r w:rsidRPr="007B5254">
        <w:rPr>
          <w:rFonts w:ascii="Arial" w:hAnsi="Arial" w:cs="Arial"/>
          <w:color w:val="000000" w:themeColor="text1"/>
          <w:sz w:val="20"/>
          <w:szCs w:val="20"/>
        </w:rPr>
        <w:t>has been provided</w:t>
      </w:r>
      <w:r w:rsidR="001253F7" w:rsidRPr="007B5254">
        <w:rPr>
          <w:rFonts w:ascii="Arial" w:hAnsi="Arial" w:cs="Arial"/>
          <w:color w:val="000000" w:themeColor="text1"/>
          <w:sz w:val="20"/>
          <w:szCs w:val="20"/>
        </w:rPr>
        <w:t>;</w:t>
      </w:r>
    </w:p>
    <w:p w14:paraId="03A396F8" w14:textId="77814821" w:rsidR="00EC1AF8" w:rsidRPr="007B5254" w:rsidRDefault="00CB6FBF" w:rsidP="00CB6FBF">
      <w:pPr>
        <w:pStyle w:val="ListParagraph"/>
        <w:framePr w:w="7817" w:h="1088" w:hSpace="180" w:wrap="around" w:vAnchor="text" w:hAnchor="page" w:x="1904" w:y="1"/>
        <w:numPr>
          <w:ilvl w:val="0"/>
          <w:numId w:val="9"/>
        </w:numPr>
        <w:pBdr>
          <w:top w:val="single" w:sz="6" w:space="1" w:color="auto"/>
          <w:left w:val="single" w:sz="6" w:space="1" w:color="auto"/>
          <w:bottom w:val="single" w:sz="6" w:space="1" w:color="auto"/>
          <w:right w:val="single" w:sz="6" w:space="1" w:color="auto"/>
        </w:pBdr>
        <w:jc w:val="both"/>
        <w:rPr>
          <w:rFonts w:ascii="Arial" w:hAnsi="Arial" w:cs="Arial"/>
          <w:color w:val="000000" w:themeColor="text1"/>
          <w:sz w:val="20"/>
          <w:szCs w:val="20"/>
        </w:rPr>
      </w:pPr>
      <w:r w:rsidRPr="007B5254">
        <w:rPr>
          <w:rFonts w:ascii="Arial" w:hAnsi="Arial" w:cs="Arial"/>
          <w:color w:val="000000" w:themeColor="text1"/>
          <w:sz w:val="20"/>
          <w:szCs w:val="20"/>
        </w:rPr>
        <w:t>Experimental details on the flow cytometric staining of peripheral blood mononuclear cells (PBMCs) and sample analysis is provided in the ‘</w:t>
      </w:r>
      <w:r w:rsidRPr="007B5254">
        <w:rPr>
          <w:rFonts w:ascii="Arial" w:hAnsi="Arial" w:cs="Arial"/>
          <w:i/>
          <w:iCs/>
          <w:color w:val="000000" w:themeColor="text1"/>
          <w:sz w:val="20"/>
          <w:szCs w:val="20"/>
        </w:rPr>
        <w:t>Flow Cytometric Analysis</w:t>
      </w:r>
      <w:r w:rsidRPr="007B5254">
        <w:rPr>
          <w:rFonts w:ascii="Arial" w:hAnsi="Arial" w:cs="Arial"/>
          <w:color w:val="000000" w:themeColor="text1"/>
          <w:sz w:val="20"/>
          <w:szCs w:val="20"/>
        </w:rPr>
        <w:t>’ section</w:t>
      </w:r>
      <w:r w:rsidR="001253F7" w:rsidRPr="007B5254">
        <w:rPr>
          <w:rFonts w:ascii="Arial" w:hAnsi="Arial" w:cs="Arial"/>
          <w:color w:val="000000" w:themeColor="text1"/>
          <w:sz w:val="20"/>
          <w:szCs w:val="20"/>
        </w:rPr>
        <w:t>.</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6D4ABC41" w:rsidR="00BC3CCE" w:rsidRPr="00EC1AF8"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olor w:val="000000" w:themeColor="text1"/>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5"/>
      <w:footerReference w:type="even" r:id="rId16"/>
      <w:footerReference w:type="default" r:id="rId17"/>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B8AFB" w14:textId="77777777" w:rsidR="005D3C57" w:rsidRDefault="005D3C57" w:rsidP="004215FE">
      <w:r>
        <w:separator/>
      </w:r>
    </w:p>
  </w:endnote>
  <w:endnote w:type="continuationSeparator" w:id="0">
    <w:p w14:paraId="6237EB5F" w14:textId="77777777" w:rsidR="005D3C57" w:rsidRDefault="005D3C57"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13177B">
      <w:rPr>
        <w:rStyle w:val="PageNumber"/>
        <w:rFonts w:asciiTheme="minorHAnsi" w:hAnsiTheme="minorHAnsi"/>
        <w:noProof/>
        <w:sz w:val="20"/>
        <w:szCs w:val="20"/>
      </w:rPr>
      <w:t>4</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37D32" w14:textId="77777777" w:rsidR="005D3C57" w:rsidRDefault="005D3C57" w:rsidP="004215FE">
      <w:r>
        <w:separator/>
      </w:r>
    </w:p>
  </w:footnote>
  <w:footnote w:type="continuationSeparator" w:id="0">
    <w:p w14:paraId="4B5D3C5A" w14:textId="77777777" w:rsidR="005D3C57" w:rsidRDefault="005D3C57"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lang w:val="en-GB" w:eastAsia="en-GB"/>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4F4BF8"/>
    <w:multiLevelType w:val="hybridMultilevel"/>
    <w:tmpl w:val="42146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3D3F2F"/>
    <w:multiLevelType w:val="hybridMultilevel"/>
    <w:tmpl w:val="65F84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0"/>
  </w:num>
  <w:num w:numId="4">
    <w:abstractNumId w:val="1"/>
  </w:num>
  <w:num w:numId="5">
    <w:abstractNumId w:val="6"/>
  </w:num>
  <w:num w:numId="6">
    <w:abstractNumId w:val="2"/>
  </w:num>
  <w:num w:numId="7">
    <w:abstractNumId w:val="5"/>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1sLAwMDc2Mja2MDZU0lEKTi0uzszPAykwrAUAw3pSsiwAAAA="/>
  </w:docVars>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D631D"/>
    <w:rsid w:val="000F64EE"/>
    <w:rsid w:val="00100F97"/>
    <w:rsid w:val="001019CD"/>
    <w:rsid w:val="00125190"/>
    <w:rsid w:val="001253F7"/>
    <w:rsid w:val="0013177B"/>
    <w:rsid w:val="00133662"/>
    <w:rsid w:val="00133907"/>
    <w:rsid w:val="00146DE9"/>
    <w:rsid w:val="0015519A"/>
    <w:rsid w:val="001618D5"/>
    <w:rsid w:val="00175192"/>
    <w:rsid w:val="001E1D59"/>
    <w:rsid w:val="00212F30"/>
    <w:rsid w:val="00217B9E"/>
    <w:rsid w:val="002336C6"/>
    <w:rsid w:val="00241081"/>
    <w:rsid w:val="00266462"/>
    <w:rsid w:val="00274783"/>
    <w:rsid w:val="002A068D"/>
    <w:rsid w:val="002A0ED1"/>
    <w:rsid w:val="002A7487"/>
    <w:rsid w:val="002B675A"/>
    <w:rsid w:val="00307F5D"/>
    <w:rsid w:val="003248ED"/>
    <w:rsid w:val="00370080"/>
    <w:rsid w:val="00375914"/>
    <w:rsid w:val="003F19A6"/>
    <w:rsid w:val="00402ADD"/>
    <w:rsid w:val="00406FF4"/>
    <w:rsid w:val="0041682E"/>
    <w:rsid w:val="004215FE"/>
    <w:rsid w:val="004242DB"/>
    <w:rsid w:val="00426FD0"/>
    <w:rsid w:val="004359E9"/>
    <w:rsid w:val="00441726"/>
    <w:rsid w:val="00444CB7"/>
    <w:rsid w:val="004505C5"/>
    <w:rsid w:val="00451B01"/>
    <w:rsid w:val="0045397E"/>
    <w:rsid w:val="00455849"/>
    <w:rsid w:val="00471732"/>
    <w:rsid w:val="004A0972"/>
    <w:rsid w:val="004A5C32"/>
    <w:rsid w:val="004B41D4"/>
    <w:rsid w:val="004B633E"/>
    <w:rsid w:val="004D5E59"/>
    <w:rsid w:val="004D602A"/>
    <w:rsid w:val="004D73CF"/>
    <w:rsid w:val="004E4945"/>
    <w:rsid w:val="004F451D"/>
    <w:rsid w:val="00505C51"/>
    <w:rsid w:val="00516A01"/>
    <w:rsid w:val="0053000A"/>
    <w:rsid w:val="00550F13"/>
    <w:rsid w:val="005530AE"/>
    <w:rsid w:val="00555F44"/>
    <w:rsid w:val="00566103"/>
    <w:rsid w:val="005B0A15"/>
    <w:rsid w:val="005D3C57"/>
    <w:rsid w:val="00605A12"/>
    <w:rsid w:val="00624AE9"/>
    <w:rsid w:val="00634AC7"/>
    <w:rsid w:val="00657587"/>
    <w:rsid w:val="00661DCC"/>
    <w:rsid w:val="00672545"/>
    <w:rsid w:val="00685CCF"/>
    <w:rsid w:val="006868DA"/>
    <w:rsid w:val="006A632B"/>
    <w:rsid w:val="006C06F5"/>
    <w:rsid w:val="006C20A7"/>
    <w:rsid w:val="006C3386"/>
    <w:rsid w:val="006C7BC3"/>
    <w:rsid w:val="006E4A6C"/>
    <w:rsid w:val="006E6B2A"/>
    <w:rsid w:val="00700103"/>
    <w:rsid w:val="007137E1"/>
    <w:rsid w:val="00727291"/>
    <w:rsid w:val="00762B36"/>
    <w:rsid w:val="00763BA5"/>
    <w:rsid w:val="0076524F"/>
    <w:rsid w:val="00767B26"/>
    <w:rsid w:val="00795CED"/>
    <w:rsid w:val="007B5254"/>
    <w:rsid w:val="007B6567"/>
    <w:rsid w:val="007B6D8A"/>
    <w:rsid w:val="007B7AF0"/>
    <w:rsid w:val="007C1A97"/>
    <w:rsid w:val="007D18C3"/>
    <w:rsid w:val="007E54D8"/>
    <w:rsid w:val="007E5880"/>
    <w:rsid w:val="00800860"/>
    <w:rsid w:val="00806DC7"/>
    <w:rsid w:val="008071DA"/>
    <w:rsid w:val="0082410E"/>
    <w:rsid w:val="00840F08"/>
    <w:rsid w:val="0085277F"/>
    <w:rsid w:val="008531D3"/>
    <w:rsid w:val="00856629"/>
    <w:rsid w:val="00860995"/>
    <w:rsid w:val="00865914"/>
    <w:rsid w:val="008669DA"/>
    <w:rsid w:val="0087056D"/>
    <w:rsid w:val="00876F8F"/>
    <w:rsid w:val="00877644"/>
    <w:rsid w:val="00877729"/>
    <w:rsid w:val="00897243"/>
    <w:rsid w:val="008A22A7"/>
    <w:rsid w:val="008C73C0"/>
    <w:rsid w:val="008D7885"/>
    <w:rsid w:val="0091072C"/>
    <w:rsid w:val="00912B0B"/>
    <w:rsid w:val="009205E9"/>
    <w:rsid w:val="0092438C"/>
    <w:rsid w:val="00941D04"/>
    <w:rsid w:val="0094653C"/>
    <w:rsid w:val="00963CEF"/>
    <w:rsid w:val="00993065"/>
    <w:rsid w:val="009A0661"/>
    <w:rsid w:val="009D0D28"/>
    <w:rsid w:val="009E6ACE"/>
    <w:rsid w:val="009E7B13"/>
    <w:rsid w:val="00A11EC6"/>
    <w:rsid w:val="00A131BD"/>
    <w:rsid w:val="00A15023"/>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2DEC"/>
    <w:rsid w:val="00BC3CCE"/>
    <w:rsid w:val="00C1184B"/>
    <w:rsid w:val="00C21D14"/>
    <w:rsid w:val="00C24CF7"/>
    <w:rsid w:val="00C42ECB"/>
    <w:rsid w:val="00C52A77"/>
    <w:rsid w:val="00C820B0"/>
    <w:rsid w:val="00C9575E"/>
    <w:rsid w:val="00CB219B"/>
    <w:rsid w:val="00CB6FBF"/>
    <w:rsid w:val="00CC6EF3"/>
    <w:rsid w:val="00CD6AEC"/>
    <w:rsid w:val="00CE6849"/>
    <w:rsid w:val="00CF4BBE"/>
    <w:rsid w:val="00CF6CB5"/>
    <w:rsid w:val="00D02173"/>
    <w:rsid w:val="00D10224"/>
    <w:rsid w:val="00D3549B"/>
    <w:rsid w:val="00D44612"/>
    <w:rsid w:val="00D50299"/>
    <w:rsid w:val="00D74320"/>
    <w:rsid w:val="00D779BF"/>
    <w:rsid w:val="00D83D45"/>
    <w:rsid w:val="00D93937"/>
    <w:rsid w:val="00D96B37"/>
    <w:rsid w:val="00DE207A"/>
    <w:rsid w:val="00DE2719"/>
    <w:rsid w:val="00DF1913"/>
    <w:rsid w:val="00E007B4"/>
    <w:rsid w:val="00E111CB"/>
    <w:rsid w:val="00E234CA"/>
    <w:rsid w:val="00E41364"/>
    <w:rsid w:val="00E61AB4"/>
    <w:rsid w:val="00E70517"/>
    <w:rsid w:val="00E870D1"/>
    <w:rsid w:val="00EC1AF8"/>
    <w:rsid w:val="00ED346E"/>
    <w:rsid w:val="00EF7423"/>
    <w:rsid w:val="00F27DEC"/>
    <w:rsid w:val="00F3344F"/>
    <w:rsid w:val="00F45B71"/>
    <w:rsid w:val="00F60CF4"/>
    <w:rsid w:val="00FC1F40"/>
    <w:rsid w:val="00FC71BB"/>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9AB76D8D-39FF-4552-BFB1-F13C43611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paragraph" w:styleId="NormalWeb">
    <w:name w:val="Normal (Web)"/>
    <w:basedOn w:val="Normal"/>
    <w:uiPriority w:val="99"/>
    <w:unhideWhenUsed/>
    <w:rsid w:val="00E111CB"/>
    <w:pPr>
      <w:spacing w:before="100" w:beforeAutospacing="1" w:after="100" w:afterAutospacing="1"/>
    </w:pPr>
    <w:rPr>
      <w:rFonts w:ascii="Times New Roman" w:eastAsia="Times New Roman" w:hAnsi="Times New Roman"/>
      <w:lang w:val="en-GB" w:eastAsia="en-GB"/>
    </w:rPr>
  </w:style>
  <w:style w:type="character" w:styleId="Strong">
    <w:name w:val="Strong"/>
    <w:basedOn w:val="DefaultParagraphFont"/>
    <w:uiPriority w:val="22"/>
    <w:qFormat/>
    <w:locked/>
    <w:rsid w:val="00E111CB"/>
    <w:rPr>
      <w:b/>
      <w:bCs/>
    </w:rPr>
  </w:style>
  <w:style w:type="paragraph" w:styleId="Caption">
    <w:name w:val="caption"/>
    <w:basedOn w:val="Normal"/>
    <w:next w:val="Normal"/>
    <w:unhideWhenUsed/>
    <w:qFormat/>
    <w:locked/>
    <w:rsid w:val="0094653C"/>
    <w:pPr>
      <w:spacing w:after="200"/>
    </w:pPr>
    <w:rPr>
      <w:i/>
      <w:iCs/>
      <w:color w:val="1F497D" w:themeColor="text2"/>
      <w:sz w:val="18"/>
      <w:szCs w:val="18"/>
    </w:rPr>
  </w:style>
  <w:style w:type="table" w:styleId="TableGrid">
    <w:name w:val="Table Grid"/>
    <w:basedOn w:val="TableNormal"/>
    <w:locked/>
    <w:rsid w:val="00946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B63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440175825">
      <w:bodyDiv w:val="1"/>
      <w:marLeft w:val="0"/>
      <w:marRight w:val="0"/>
      <w:marTop w:val="0"/>
      <w:marBottom w:val="0"/>
      <w:divBdr>
        <w:top w:val="none" w:sz="0" w:space="0" w:color="auto"/>
        <w:left w:val="none" w:sz="0" w:space="0" w:color="auto"/>
        <w:bottom w:val="none" w:sz="0" w:space="0" w:color="auto"/>
        <w:right w:val="none" w:sz="0" w:space="0" w:color="auto"/>
      </w:divBdr>
      <w:divsChild>
        <w:div w:id="341587126">
          <w:marLeft w:val="0"/>
          <w:marRight w:val="0"/>
          <w:marTop w:val="0"/>
          <w:marBottom w:val="0"/>
          <w:divBdr>
            <w:top w:val="none" w:sz="0" w:space="0" w:color="auto"/>
            <w:left w:val="none" w:sz="0" w:space="0" w:color="auto"/>
            <w:bottom w:val="none" w:sz="0" w:space="0" w:color="auto"/>
            <w:right w:val="none" w:sz="0" w:space="0" w:color="auto"/>
          </w:divBdr>
        </w:div>
        <w:div w:id="1213079703">
          <w:marLeft w:val="0"/>
          <w:marRight w:val="0"/>
          <w:marTop w:val="0"/>
          <w:marBottom w:val="0"/>
          <w:divBdr>
            <w:top w:val="none" w:sz="0" w:space="0" w:color="auto"/>
            <w:left w:val="none" w:sz="0" w:space="0" w:color="auto"/>
            <w:bottom w:val="none" w:sz="0" w:space="0" w:color="auto"/>
            <w:right w:val="none" w:sz="0" w:space="0" w:color="auto"/>
          </w:divBdr>
        </w:div>
        <w:div w:id="1207183432">
          <w:marLeft w:val="0"/>
          <w:marRight w:val="0"/>
          <w:marTop w:val="0"/>
          <w:marBottom w:val="0"/>
          <w:divBdr>
            <w:top w:val="none" w:sz="0" w:space="0" w:color="auto"/>
            <w:left w:val="none" w:sz="0" w:space="0" w:color="auto"/>
            <w:bottom w:val="none" w:sz="0" w:space="0" w:color="auto"/>
            <w:right w:val="none" w:sz="0" w:space="0" w:color="auto"/>
          </w:divBdr>
        </w:div>
      </w:divsChild>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 w:id="1956405523">
      <w:bodyDiv w:val="1"/>
      <w:marLeft w:val="0"/>
      <w:marRight w:val="0"/>
      <w:marTop w:val="0"/>
      <w:marBottom w:val="0"/>
      <w:divBdr>
        <w:top w:val="none" w:sz="0" w:space="0" w:color="auto"/>
        <w:left w:val="none" w:sz="0" w:space="0" w:color="auto"/>
        <w:bottom w:val="none" w:sz="0" w:space="0" w:color="auto"/>
        <w:right w:val="none" w:sz="0" w:space="0" w:color="auto"/>
      </w:divBdr>
    </w:div>
    <w:div w:id="2102681325">
      <w:bodyDiv w:val="1"/>
      <w:marLeft w:val="0"/>
      <w:marRight w:val="0"/>
      <w:marTop w:val="0"/>
      <w:marBottom w:val="0"/>
      <w:divBdr>
        <w:top w:val="none" w:sz="0" w:space="0" w:color="auto"/>
        <w:left w:val="none" w:sz="0" w:space="0" w:color="auto"/>
        <w:bottom w:val="none" w:sz="0" w:space="0" w:color="auto"/>
        <w:right w:val="none" w:sz="0" w:space="0" w:color="auto"/>
      </w:divBdr>
      <w:divsChild>
        <w:div w:id="1439565766">
          <w:marLeft w:val="0"/>
          <w:marRight w:val="0"/>
          <w:marTop w:val="0"/>
          <w:marBottom w:val="0"/>
          <w:divBdr>
            <w:top w:val="none" w:sz="0" w:space="0" w:color="auto"/>
            <w:left w:val="none" w:sz="0" w:space="0" w:color="auto"/>
            <w:bottom w:val="none" w:sz="0" w:space="0" w:color="auto"/>
            <w:right w:val="none" w:sz="0" w:space="0" w:color="auto"/>
          </w:divBdr>
        </w:div>
        <w:div w:id="828325422">
          <w:marLeft w:val="0"/>
          <w:marRight w:val="0"/>
          <w:marTop w:val="0"/>
          <w:marBottom w:val="0"/>
          <w:divBdr>
            <w:top w:val="none" w:sz="0" w:space="0" w:color="auto"/>
            <w:left w:val="none" w:sz="0" w:space="0" w:color="auto"/>
            <w:bottom w:val="none" w:sz="0" w:space="0" w:color="auto"/>
            <w:right w:val="none" w:sz="0" w:space="0" w:color="auto"/>
          </w:divBdr>
        </w:div>
        <w:div w:id="2047295272">
          <w:marLeft w:val="0"/>
          <w:marRight w:val="0"/>
          <w:marTop w:val="0"/>
          <w:marBottom w:val="0"/>
          <w:divBdr>
            <w:top w:val="none" w:sz="0" w:space="0" w:color="auto"/>
            <w:left w:val="none" w:sz="0" w:space="0" w:color="auto"/>
            <w:bottom w:val="none" w:sz="0" w:space="0" w:color="auto"/>
            <w:right w:val="none" w:sz="0" w:space="0" w:color="auto"/>
          </w:divBdr>
        </w:div>
        <w:div w:id="1928029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losbiology.org/article/info:doi/10.1371/journal.pbio.100041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yperlink" Target="https://onlinelibrary.wiley.com/doi/epdf/10.1002/cyto.a.2062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90462-C96B-4050-8C1A-802475E06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1587</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10618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Graham Pockley</cp:lastModifiedBy>
  <cp:revision>23</cp:revision>
  <dcterms:created xsi:type="dcterms:W3CDTF">2019-08-20T11:01:00Z</dcterms:created>
  <dcterms:modified xsi:type="dcterms:W3CDTF">2019-08-20T11:45:00Z</dcterms:modified>
</cp:coreProperties>
</file>