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jc w:val="left"/>
        <w:rPr>
          <w:b/>
          <w:sz w:val="22"/>
          <w:lang w:val="en-US"/>
        </w:rPr>
      </w:pPr>
      <w:bookmarkStart w:id="1" w:name="_GoBack"/>
      <w:bookmarkEnd w:id="1"/>
      <w:bookmarkStart w:id="0" w:name="_Ref9607346"/>
      <w:r>
        <w:rPr>
          <w:b/>
          <w:sz w:val="22"/>
          <w:lang w:val="en-US"/>
        </w:rPr>
        <w:t xml:space="preserve">Supplementary file </w:t>
      </w:r>
      <w:r>
        <w:rPr>
          <w:b/>
          <w:sz w:val="22"/>
        </w:rPr>
        <w:fldChar w:fldCharType="begin"/>
      </w:r>
      <w:r>
        <w:rPr>
          <w:b/>
          <w:sz w:val="22"/>
          <w:lang w:val="en-US"/>
        </w:rPr>
        <w:instrText xml:space="preserve"> SEQ Supplementary_Table \* ARABIC </w:instrText>
      </w:r>
      <w:r>
        <w:rPr>
          <w:b/>
          <w:sz w:val="22"/>
        </w:rPr>
        <w:fldChar w:fldCharType="separate"/>
      </w:r>
      <w:r>
        <w:rPr>
          <w:b/>
          <w:sz w:val="22"/>
          <w:lang w:val="en-US"/>
        </w:rPr>
        <w:t>1</w:t>
      </w:r>
      <w:r>
        <w:rPr>
          <w:b/>
          <w:sz w:val="22"/>
        </w:rPr>
        <w:fldChar w:fldCharType="end"/>
      </w:r>
      <w:bookmarkEnd w:id="0"/>
      <w:r>
        <w:rPr>
          <w:b/>
          <w:sz w:val="22"/>
        </w:rPr>
        <w:t>.</w:t>
      </w:r>
      <w:r>
        <w:rPr>
          <w:b/>
          <w:sz w:val="22"/>
          <w:lang w:val="en-US"/>
        </w:rPr>
        <w:t xml:space="preserve"> </w:t>
      </w:r>
      <w:r>
        <w:rPr>
          <w:sz w:val="22"/>
          <w:lang w:val="en-US"/>
        </w:rPr>
        <w:t>Resistance genotype profiles of parasites from Guyana and French Guiana.</w:t>
      </w:r>
    </w:p>
    <w:tbl>
      <w:tblPr>
        <w:tblStyle w:val="4"/>
        <w:tblW w:w="8240" w:type="dxa"/>
        <w:tblInd w:w="5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"/>
        <w:gridCol w:w="1060"/>
        <w:gridCol w:w="1320"/>
        <w:gridCol w:w="1320"/>
        <w:gridCol w:w="1400"/>
        <w:gridCol w:w="1060"/>
        <w:gridCol w:w="1060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6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Protein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Mutation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en-US" w:eastAsia="fr-FR"/>
              </w:rPr>
              <w:t>Entire sample set from Guyana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val="en-US" w:eastAsia="fr-FR"/>
              </w:rPr>
              <w:t>(n=53)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16"/>
                <w:szCs w:val="16"/>
                <w:lang w:eastAsia="fr-FR"/>
              </w:rPr>
              <w:t>pfk13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mutant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fr-FR"/>
              </w:rPr>
              <w:t>(n=13)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O141-A*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R086*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20" w:type="dxa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fr-FR"/>
              </w:rPr>
              <w:t>WT frequency</w:t>
            </w:r>
          </w:p>
        </w:tc>
        <w:tc>
          <w:tcPr>
            <w:tcW w:w="1320" w:type="dxa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fr-FR"/>
              </w:rPr>
              <w:t>Mutant frequency</w:t>
            </w:r>
          </w:p>
        </w:tc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PfCRT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C72S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S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V73V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V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M74I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M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N75E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N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K76T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T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C350R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0.58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0.42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R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PfDHFR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N51I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I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C59R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C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S108N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N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I164L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I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I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I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PfDHPS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S436F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S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A437G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G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K540E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A581G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G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A613T/S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PfMDR1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N86Y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N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Y184F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F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S1034C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0.92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0.08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S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N1042D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D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val="en-GB"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D1246Y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Y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Y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GB" w:eastAsia="fr-FR"/>
              </w:rPr>
              <w:t>Y</w:t>
            </w:r>
          </w:p>
        </w:tc>
      </w:tr>
    </w:tbl>
    <w:p>
      <w:pPr>
        <w:rPr>
          <w:rFonts w:ascii="Times New Roman" w:hAnsi="Times New Roman" w:cs="Times New Roman"/>
          <w:sz w:val="16"/>
          <w:szCs w:val="21"/>
          <w:lang w:val="en-US"/>
        </w:rPr>
      </w:pPr>
      <w:r>
        <w:rPr>
          <w:rFonts w:ascii="Times New Roman" w:hAnsi="Times New Roman" w:cs="Times New Roman"/>
          <w:sz w:val="16"/>
          <w:szCs w:val="21"/>
          <w:lang w:val="en-US"/>
        </w:rPr>
        <w:t xml:space="preserve">  *: Parasites from French Guiana used for gene editing.</w:t>
      </w:r>
    </w:p>
    <w:p>
      <w:pPr>
        <w:rPr>
          <w:lang w:val="en-US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WenQuanYi Micro 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94"/>
    <w:rsid w:val="008E3382"/>
    <w:rsid w:val="0094303B"/>
    <w:rsid w:val="00F05D28"/>
    <w:rsid w:val="00F37E94"/>
    <w:rsid w:val="7FAB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spacing w:after="200" w:line="240" w:lineRule="auto"/>
      <w:jc w:val="center"/>
    </w:pPr>
    <w:rPr>
      <w:rFonts w:ascii="Times New Roman" w:hAnsi="Times New Roman"/>
      <w:bCs/>
      <w:sz w:val="20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212121"/>
      </a:dk1>
      <a:lt1>
        <a:sysClr val="window" lastClr="F3F3F3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603</Characters>
  <Lines>5</Lines>
  <Paragraphs>1</Paragraphs>
  <TotalTime>1</TotalTime>
  <ScaleCrop>false</ScaleCrop>
  <LinksUpToDate>false</LinksUpToDate>
  <CharactersWithSpaces>707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2020-05-05T23:31:00Z</dcterms:created>
  <dc:creator>Lise Musset</dc:creator>
  <cp:lastModifiedBy>balaje</cp:lastModifiedBy>
  <dcterms:modified xsi:type="dcterms:W3CDTF">2020-05-07T17:22:41Z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