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r>
        <w:rPr>
          <w:rStyle w:val="InternetLink"/>
          <w:rFonts w:ascii="Calibri" w:hAnsi="Calibri" w:asciiTheme="minorHAnsi" w:hAnsiTheme="minorHAnsi"/>
          <w:bCs/>
          <w:sz w:val="22"/>
          <w:szCs w:val="22"/>
          <w:lang w:val="en-GB"/>
        </w:rPr>
        <w:t>EQUATOR Network</w:t>
      </w:r>
      <w:r>
        <w:rPr>
          <w:rFonts w:ascii="Calibri" w:hAnsi="Calibri" w:asciiTheme="minorHAnsi" w:hAnsiTheme="minorHAnsi"/>
          <w:bCs/>
          <w:sz w:val="22"/>
          <w:szCs w:val="22"/>
          <w:lang w:val="en-GB"/>
        </w:rPr>
        <w:t>), life science research (see the </w:t>
      </w:r>
      <w:hyperlink r:id="rId2">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3">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4">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3000" w:x="1858" w:y="1" w:wrap="auto" w:vAnchor="text" w:hAnchor="page" w:hRule="exact"/>
      </w:pPr>
      <w:r>
        <w:rPr>
          <w:rFonts w:ascii="Calibri" w:hAnsi="Calibri" w:asciiTheme="minorHAnsi" w:hAnsiTheme="minorHAnsi"/>
        </w:rPr>
        <w:t>This information does not apply to our Tools &amp; Resources submission because we are primarily describing the design and use of our new Human Neocortical Neurosolver (HNN) software platform which allows clinicians/experimentalists to perform detailed biophysical simulations of a validated thalamocortical circuit model that generates the most commonly observed patterns (event-related potentials, brain rhythms) in source-localized human MEG activity. HNN’s model has been validated in an extensive set of peer-reviewed publications using invasive electrophysiological recordings from multiple species (mice, rats, nonhuman primates) and experimental conditions (attention tasks during tactile stimulation, spontaneous ongoing activity, etc.).</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656" w:x="1858" w:y="1" w:wrap="auto" w:vAnchor="text" w:hAnchor="page" w:hRule="exact"/>
      </w:pPr>
      <w:r>
        <w:rPr>
          <w:rFonts w:ascii="Calibri" w:hAnsi="Calibri" w:asciiTheme="minorHAnsi" w:hAnsiTheme="minorHAnsi"/>
        </w:rPr>
        <w:t>This information does not apply to our submission for the reasons stated above.</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2212" w:x="1904" w:y="19" w:wrap="auto" w:vAnchor="text" w:hAnchor="page" w:hRule="exact"/>
      </w:pPr>
      <w:r>
        <w:rPr>
          <w:rFonts w:ascii="Calibri" w:hAnsi="Calibri" w:asciiTheme="minorHAnsi" w:hAnsiTheme="minorHAnsi"/>
          <w:sz w:val="22"/>
          <w:szCs w:val="22"/>
        </w:rPr>
        <w:t xml:space="preserve">Statistical analysis methods are described in: </w:t>
      </w:r>
      <w:r>
        <w:rPr>
          <w:rFonts w:ascii="Calibri" w:hAnsi="Calibri" w:asciiTheme="minorHAnsi" w:hAnsiTheme="minorHAnsi"/>
          <w:b/>
          <w:bCs/>
          <w:sz w:val="22"/>
          <w:szCs w:val="22"/>
        </w:rPr>
        <w:t>1. Methods</w:t>
      </w:r>
      <w:r>
        <w:rPr>
          <w:rFonts w:ascii="Calibri" w:hAnsi="Calibri" w:asciiTheme="minorHAnsi" w:hAnsiTheme="minorHAnsi"/>
          <w:sz w:val="22"/>
          <w:szCs w:val="22"/>
        </w:rPr>
        <w:t>, in the Exogenous Driving Inputs section, which describes the synaptic inputs (timing, strength, temporal distribution), and how the HNN platform allows users to specify these inputs. Related information/examples are presented in the legends of figure 4, 7, 8, 9, and 1</w:t>
      </w:r>
      <w:r>
        <w:rPr>
          <w:rFonts w:ascii="Calibri" w:hAnsi="Calibri" w:asciiTheme="minorHAnsi" w:hAnsiTheme="minorHAnsi"/>
          <w:sz w:val="22"/>
          <w:szCs w:val="22"/>
        </w:rPr>
        <w:t>1</w:t>
      </w:r>
      <w:r>
        <w:rPr>
          <w:rFonts w:ascii="Calibri" w:hAnsi="Calibri" w:asciiTheme="minorHAnsi" w:hAnsiTheme="minorHAnsi"/>
          <w:sz w:val="22"/>
          <w:szCs w:val="22"/>
        </w:rPr>
        <w:t xml:space="preserve">; </w:t>
      </w:r>
      <w:r>
        <w:rPr>
          <w:rFonts w:ascii="Calibri" w:hAnsi="Calibri" w:asciiTheme="minorHAnsi" w:hAnsiTheme="minorHAnsi"/>
          <w:b/>
          <w:bCs/>
          <w:sz w:val="22"/>
          <w:szCs w:val="22"/>
        </w:rPr>
        <w:t>2.</w:t>
      </w:r>
      <w:r>
        <w:rPr>
          <w:rFonts w:ascii="Calibri" w:hAnsi="Calibri" w:asciiTheme="minorHAnsi" w:hAnsiTheme="minorHAnsi"/>
          <w:sz w:val="22"/>
          <w:szCs w:val="22"/>
        </w:rPr>
        <w:t xml:space="preserve"> In </w:t>
      </w:r>
      <w:r>
        <w:rPr>
          <w:rFonts w:ascii="Calibri" w:hAnsi="Calibri" w:asciiTheme="minorHAnsi" w:hAnsiTheme="minorHAnsi"/>
          <w:b/>
          <w:bCs/>
          <w:sz w:val="22"/>
          <w:szCs w:val="22"/>
        </w:rPr>
        <w:t>Results</w:t>
      </w:r>
      <w:r>
        <w:rPr>
          <w:rFonts w:ascii="Calibri" w:hAnsi="Calibri" w:asciiTheme="minorHAnsi" w:hAnsiTheme="minorHAnsi"/>
          <w:sz w:val="22"/>
          <w:szCs w:val="22"/>
        </w:rPr>
        <w:t xml:space="preserve"> in Tutorials on ERPs and low-frequency oscillations, and </w:t>
      </w:r>
      <w:r>
        <w:rPr>
          <w:rFonts w:eastAsia="Arial" w:cs="Arial" w:ascii="Arial" w:hAnsi="Arial"/>
          <w:sz w:val="22"/>
          <w:szCs w:val="22"/>
        </w:rPr>
        <w:t>Example model optimization for the suprathreshold sensory evoked response data set</w:t>
      </w:r>
      <w:r>
        <w:rPr>
          <w:rFonts w:ascii="Calibri" w:hAnsi="Calibri" w:asciiTheme="minorHAnsi" w:hAnsiTheme="minorHAnsi"/>
          <w:sz w:val="22"/>
          <w:szCs w:val="22"/>
        </w:rPr>
        <w:t>.</w:t>
      </w:r>
      <w:r>
        <w:rPr>
          <w:rFonts w:eastAsia="Arial" w:cs="Arial" w:ascii="Arial" w:hAnsi="Arial"/>
          <w:b/>
          <w:i/>
          <w:sz w:val="22"/>
          <w:szCs w:val="22"/>
        </w:rPr>
        <w:t xml:space="preserve"> </w:t>
      </w:r>
      <w:r>
        <w:rPr>
          <w:rFonts w:ascii="Calibri" w:hAnsi="Calibri" w:asciiTheme="minorHAnsi" w:hAnsiTheme="minorHAnsi"/>
          <w:b/>
          <w:bCs/>
          <w:sz w:val="22"/>
          <w:szCs w:val="22"/>
        </w:rPr>
        <w:t>3.</w:t>
      </w:r>
      <w:r>
        <w:rPr>
          <w:rFonts w:ascii="Calibri" w:hAnsi="Calibri" w:asciiTheme="minorHAnsi" w:hAnsiTheme="minorHAnsi"/>
          <w:sz w:val="22"/>
          <w:szCs w:val="22"/>
        </w:rPr>
        <w:t xml:space="preserve"> In </w:t>
      </w:r>
      <w:r>
        <w:rPr>
          <w:rFonts w:ascii="Calibri" w:hAnsi="Calibri" w:asciiTheme="minorHAnsi" w:hAnsiTheme="minorHAnsi"/>
          <w:b/>
          <w:bCs/>
          <w:sz w:val="22"/>
          <w:szCs w:val="22"/>
        </w:rPr>
        <w:t>Methods</w:t>
      </w:r>
      <w:r>
        <w:rPr>
          <w:rFonts w:ascii="Calibri" w:hAnsi="Calibri" w:asciiTheme="minorHAnsi" w:hAnsiTheme="minorHAnsi"/>
          <w:sz w:val="22"/>
          <w:szCs w:val="22"/>
        </w:rPr>
        <w:t xml:space="preserve">, in the ERP optimization tools description. </w:t>
      </w:r>
      <w:r>
        <w:rPr>
          <w:rFonts w:ascii="Calibri" w:hAnsi="Calibri" w:asciiTheme="minorHAnsi" w:hAnsiTheme="minorHAnsi"/>
          <w:b/>
          <w:bCs/>
          <w:sz w:val="22"/>
          <w:szCs w:val="22"/>
        </w:rPr>
        <w:t>4. In Supplementary Materials</w:t>
      </w:r>
      <w:r>
        <w:rPr>
          <w:rFonts w:ascii="Calibri" w:hAnsi="Calibri" w:asciiTheme="minorHAnsi" w:hAnsiTheme="minorHAnsi"/>
          <w:sz w:val="22"/>
          <w:szCs w:val="22"/>
        </w:rPr>
        <w:t>, in Sensitivity Analyses of ERP Simulations.</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lang w:val="en-GB"/>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1383" w:x="1904" w:y="1" w:wrap="auto" w:vAnchor="text" w:hAnchor="page" w:hRule="exact"/>
      </w:pPr>
      <w:r>
        <w:rPr>
          <w:rFonts w:ascii="Calibri" w:hAnsi="Calibri" w:asciiTheme="minorHAnsi" w:hAnsiTheme="minorHAnsi"/>
          <w:sz w:val="22"/>
          <w:szCs w:val="22"/>
        </w:rPr>
        <w:t xml:space="preserve">Group allocation is not applicable to this submission. Although we describe different uses of HNN’s model for simulating event-related potentials and brain rhythms in different conditions (for example, in the Results section </w:t>
      </w:r>
      <w:r>
        <w:rPr>
          <w:rFonts w:eastAsia="Arial" w:cs="Arial" w:ascii="Arial" w:hAnsi="Arial"/>
          <w:b/>
          <w:i/>
          <w:sz w:val="22"/>
          <w:szCs w:val="22"/>
        </w:rPr>
        <w:t>Tutorials on ERPs and low-frequency oscillations</w:t>
      </w:r>
      <w:r>
        <w:rPr>
          <w:rFonts w:eastAsia="Arial" w:cs="Arial" w:ascii="Arial" w:hAnsi="Arial"/>
          <w:i/>
          <w:sz w:val="22"/>
          <w:szCs w:val="22"/>
        </w:rPr>
        <w:t xml:space="preserve">), </w:t>
      </w:r>
      <w:r>
        <w:rPr>
          <w:rFonts w:eastAsia="Arial" w:cs="Arial" w:ascii="Arial" w:hAnsi="Arial"/>
          <w:sz w:val="22"/>
          <w:szCs w:val="22"/>
        </w:rPr>
        <w:t>these simulations have been described and validated in our prior publications, as referenced.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pPr>
      <w:r>
        <w:rPr>
          <w:rFonts w:ascii="Calibri" w:hAnsi="Calibri" w:asciiTheme="minorHAnsi" w:hAnsiTheme="minorHAnsi"/>
          <w:sz w:val="22"/>
          <w:szCs w:val="22"/>
        </w:rPr>
        <w:t>Our Human Neocortical Neurosolver tutorials and full documentation are provided on our website (</w:t>
      </w:r>
      <w:hyperlink r:id="rId5">
        <w:r>
          <w:rPr>
            <w:rStyle w:val="InternetLink"/>
            <w:rFonts w:ascii="Calibri" w:hAnsi="Calibri" w:asciiTheme="minorHAnsi" w:hAnsiTheme="minorHAnsi"/>
            <w:sz w:val="22"/>
            <w:szCs w:val="22"/>
          </w:rPr>
          <w:t>https://hnn.brown.edu</w:t>
        </w:r>
      </w:hyperlink>
      <w:r>
        <w:rPr>
          <w:rFonts w:ascii="Calibri" w:hAnsi="Calibri" w:asciiTheme="minorHAnsi" w:hAnsiTheme="minorHAnsi"/>
          <w:sz w:val="22"/>
          <w:szCs w:val="22"/>
        </w:rPr>
        <w:t xml:space="preserve">). All source code, example experimental data, and model parameter files referenced in the submission are available on the public github page </w:t>
      </w:r>
      <w:r>
        <w:rPr>
          <w:rFonts w:cs="Calibri" w:ascii="Calibri" w:hAnsi="Calibri" w:asciiTheme="minorHAnsi" w:cstheme="minorHAnsi" w:hAnsiTheme="minorHAnsi"/>
          <w:sz w:val="22"/>
          <w:szCs w:val="22"/>
        </w:rPr>
        <w:t>(</w:t>
      </w:r>
      <w:hyperlink r:id="rId6">
        <w:r>
          <w:rPr>
            <w:rStyle w:val="InternetLink"/>
            <w:rFonts w:cs="Calibri" w:ascii="Calibri" w:hAnsi="Calibri" w:asciiTheme="minorHAnsi" w:cstheme="minorHAnsi" w:hAnsiTheme="minorHAnsi"/>
            <w:sz w:val="22"/>
            <w:szCs w:val="22"/>
          </w:rPr>
          <w:t>https://github.com/jonescompneurolab/hnn</w:t>
        </w:r>
      </w:hyperlink>
      <w:r>
        <w:rPr>
          <w:rFonts w:cs="Calibri" w:ascii="Calibri" w:hAnsi="Calibri" w:asciiTheme="minorHAnsi" w:cstheme="minorHAnsi" w:hAnsiTheme="minorHAnsi"/>
          <w:sz w:val="22"/>
          <w:szCs w:val="22"/>
        </w:rPr>
        <w:t>). Parameters for the sensitivity analyses that produc</w:t>
      </w:r>
      <w:bookmarkStart w:id="0" w:name="_GoBack"/>
      <w:bookmarkEnd w:id="0"/>
      <w:r>
        <w:rPr>
          <w:rFonts w:cs="Calibri" w:ascii="Calibri" w:hAnsi="Calibri" w:asciiTheme="minorHAnsi" w:cstheme="minorHAnsi" w:hAnsiTheme="minorHAnsi"/>
          <w:sz w:val="22"/>
          <w:szCs w:val="22"/>
        </w:rPr>
        <w:t>ed values in Supplementary Table 1 are described in Supplementary Materials, Sensitivity Analyses of ERP Simulations.</w:t>
      </w:r>
    </w:p>
    <w:p>
      <w:pPr>
        <w:pStyle w:val="Normal"/>
        <w:rPr/>
      </w:pPr>
      <w:r>
        <w:rPr/>
      </w:r>
    </w:p>
    <w:p>
      <w:pPr>
        <w:pStyle w:val="Normal"/>
        <w:rPr/>
      </w:pPr>
      <w:r>
        <w:rPr/>
      </w:r>
    </w:p>
    <w:p>
      <w:pPr>
        <w:pStyle w:val="Normal"/>
        <w:rPr/>
      </w:pPr>
      <w:r>
        <w:rPr/>
        <w:t xml:space="preserve">We have included a shortened description of the template model in the Methods section, with tables (Table 1 and Table 2 in the methods) for the critical model parameters. </w:t>
      </w:r>
    </w:p>
    <w:p>
      <w:pPr>
        <w:pStyle w:val="Normal"/>
        <w:rPr/>
      </w:pPr>
      <w:r>
        <w:rPr/>
      </w:r>
    </w:p>
    <w:p>
      <w:pPr>
        <w:pStyle w:val="Normal"/>
        <w:rPr/>
      </w:pPr>
      <w:r>
        <w:rPr/>
        <w:t>The supplementary figures and tables are also provided for more comprehensive explanation of the ERP optimization algorithm.</w:t>
      </w:r>
    </w:p>
    <w:p>
      <w:pPr>
        <w:pStyle w:val="Normal"/>
        <w:rPr/>
      </w:pPr>
      <w:r>
        <w:rPr/>
      </w:r>
    </w:p>
    <w:sectPr>
      <w:headerReference w:type="default" r:id="rId7"/>
      <w:footerReference w:type="default" r:id="rId8"/>
      <w:type w:val="nextPage"/>
      <w:pgSz w:w="11906" w:h="16838"/>
      <w:pgMar w:left="1843" w:right="1797" w:header="567" w:top="1440" w:footer="567" w:bottom="9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1" allowOverlap="1" relativeHeight="4" wp14:anchorId="1E3B3BB7">
              <wp:simplePos x="0" y="0"/>
              <wp:positionH relativeFrom="page">
                <wp:posOffset>6313805</wp:posOffset>
              </wp:positionH>
              <wp:positionV relativeFrom="paragraph">
                <wp:posOffset>123825</wp:posOffset>
              </wp:positionV>
              <wp:extent cx="66040" cy="177800"/>
              <wp:effectExtent l="0" t="0" r="0" b="0"/>
              <wp:wrapSquare wrapText="largest"/>
              <wp:docPr id="2" name="Frame5"/>
              <a:graphic xmlns:a="http://schemas.openxmlformats.org/drawingml/2006/main">
                <a:graphicData uri="http://schemas.microsoft.com/office/word/2010/wordprocessingShape">
                  <wps:wsp>
                    <wps:cNvSpPr/>
                    <wps:spPr>
                      <a:xfrm>
                        <a:off x="0" y="0"/>
                        <a:ext cx="65520" cy="177120"/>
                      </a:xfrm>
                      <a:prstGeom prst="rect">
                        <a:avLst/>
                      </a:prstGeom>
                      <a:noFill/>
                      <a:ln>
                        <a:noFill/>
                      </a:ln>
                    </wps:spPr>
                    <wps:style>
                      <a:lnRef idx="0"/>
                      <a:fillRef idx="0"/>
                      <a:effectRef idx="0"/>
                      <a:fontRef idx="minor"/>
                    </wps:style>
                    <wps:txbx>
                      <w:txbxContent>
                        <w:p>
                          <w:pPr>
                            <w:pStyle w:val="Footer"/>
                            <w:rPr>
                              <w:color w:val="000000"/>
                            </w:rPr>
                          </w:pPr>
                          <w:r>
                            <w:rPr>
                              <w:color w:val="000000"/>
                            </w:rPr>
                            <w:fldChar w:fldCharType="begin"/>
                          </w:r>
                          <w:r>
                            <w:instrText> PAGE </w:instrText>
                          </w:r>
                          <w:r>
                            <w:fldChar w:fldCharType="separate"/>
                          </w:r>
                          <w:r>
                            <w:t>2</w:t>
                          </w:r>
                          <w:r>
                            <w:fldChar w:fldCharType="end"/>
                          </w:r>
                        </w:p>
                      </w:txbxContent>
                    </wps:txbx>
                    <wps:bodyPr lIns="0" rIns="0" tIns="0" bIns="0">
                      <a:spAutoFit/>
                    </wps:bodyPr>
                  </wps:wsp>
                </a:graphicData>
              </a:graphic>
            </wp:anchor>
          </w:drawing>
        </mc:Choice>
        <mc:Fallback>
          <w:pict>
            <v:rect id="shape_0" ID="Frame5" stroked="f" style="position:absolute;margin-left:497.15pt;margin-top:9.75pt;width:5.1pt;height:13.9pt;mso-position-horizontal-relative:page" wp14:anchorId="1E3B3BB7">
              <w10:wrap type="square"/>
              <v:fill o:detectmouseclick="t" on="false"/>
              <v:stroke color="#3465a4" joinstyle="round" endcap="flat"/>
              <v:textbox>
                <w:txbxContent>
                  <w:p>
                    <w:pPr>
                      <w:pStyle w:val="Footer"/>
                      <w:rPr>
                        <w:color w:val="000000"/>
                      </w:rPr>
                    </w:pPr>
                    <w:r>
                      <w:rPr>
                        <w:color w:val="000000"/>
                      </w:rPr>
                      <w:fldChar w:fldCharType="begin"/>
                    </w:r>
                    <w:r>
                      <w:instrText> PAGE </w:instrText>
                    </w:r>
                    <w:r>
                      <w:fldChar w:fldCharType="separate"/>
                    </w:r>
                    <w:r>
                      <w:t>2</w:t>
                    </w:r>
                    <w:r>
                      <w:fldChar w:fldCharType="end"/>
                    </w:r>
                  </w:p>
                </w:txbxContent>
              </v:textbox>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44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d0f2c"/>
    <w:pPr>
      <w:widowControl/>
      <w:bidi w:val="0"/>
      <w:jc w:val="left"/>
    </w:pPr>
    <w:rPr>
      <w:rFonts w:ascii="Cambria" w:hAnsi="Cambria" w:eastAsia="MS Minngs"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customStyle="1">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VisitedInternetLink" w:customStyle="1">
    <w:name w:val="Visited Internet Link"/>
    <w:rPr>
      <w:color w:val="800000"/>
      <w:u w:val="single"/>
    </w:rPr>
  </w:style>
  <w:style w:type="character" w:styleId="ListLabel4">
    <w:name w:val="ListLabel 4"/>
    <w:qFormat/>
    <w:rPr>
      <w:rFonts w:cs="Symbol"/>
      <w:sz w:val="22"/>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sz w:val="22"/>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b/>
      <w:sz w:val="22"/>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2"/>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sz w:val="22"/>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ascii="Calibri" w:hAnsi="Calibri" w:cs="Symbol"/>
      <w:sz w:val="22"/>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ascii="Calibri" w:hAnsi="Calibri" w:cs="Symbol"/>
      <w:sz w:val="22"/>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ascii="Calibri" w:hAnsi="Calibri" w:cs="Symbol"/>
      <w:b/>
      <w:sz w:val="22"/>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ascii="Calibri" w:hAnsi="Calibri" w:cs="Symbol"/>
      <w:sz w:val="22"/>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ascii="Calibri" w:hAnsi="Calibri" w:cs="Symbol"/>
      <w:sz w:val="22"/>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paragraph" w:styleId="Heading" w:customStyle="1">
    <w:name w:val="Heading"/>
    <w:basedOn w:val="Normal"/>
    <w:next w:val="TextBody"/>
    <w:qFormat/>
    <w:pPr>
      <w:keepNext/>
      <w:spacing w:before="240" w:after="120"/>
    </w:pPr>
    <w:rPr>
      <w:rFonts w:ascii="Liberation Sans" w:hAnsi="Liberation Sans" w:eastAsia="AR PL SungtiL GB"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osharing.org/" TargetMode="External"/><Relationship Id="rId3" Type="http://schemas.openxmlformats.org/officeDocument/2006/relationships/hyperlink" Target="http://www.plosbiology.org/article/info:doi/10.1371/journal.pbio.1000412" TargetMode="External"/><Relationship Id="rId4" Type="http://schemas.openxmlformats.org/officeDocument/2006/relationships/hyperlink" Target="mailto:editorial@elifesciences.org" TargetMode="External"/><Relationship Id="rId5" Type="http://schemas.openxmlformats.org/officeDocument/2006/relationships/hyperlink" Target="https://hnn.brown.edu/" TargetMode="External"/><Relationship Id="rId6" Type="http://schemas.openxmlformats.org/officeDocument/2006/relationships/hyperlink" Target="https://github.com/jonescompneurolab/hnn"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F2BA5-216D-274B-BDBC-0AF35B0D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LibreOffice/5.1.6.2$Linux_X86_64 LibreOffice_project/10m0$Build-2</Application>
  <Pages>3</Pages>
  <Words>1006</Words>
  <Characters>5877</Characters>
  <CharactersWithSpaces>6825</CharactersWithSpaces>
  <Paragraphs>41</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2019-09-03T17:11:00Z</dcterms:created>
  <dc:creator>Andy Collings</dc:creator>
  <dc:description/>
  <dc:language>en-US</dc:language>
  <cp:lastModifiedBy/>
  <dcterms:modified xsi:type="dcterms:W3CDTF">2019-12-31T11:28:27Z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