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9CBAD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1F47689E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118534CA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3E46F67C" w14:textId="77777777" w:rsidR="00605A12" w:rsidRDefault="00605A12" w:rsidP="00AF5736">
      <w:pPr>
        <w:rPr>
          <w:rFonts w:asciiTheme="minorHAnsi" w:hAnsiTheme="minorHAnsi"/>
          <w:bCs/>
        </w:rPr>
      </w:pPr>
    </w:p>
    <w:p w14:paraId="436AC95D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72BBD836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2B62913F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7F6ADAA6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41531E6C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2CC2E27D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4B77934D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455ACC29" w14:textId="77777777" w:rsidR="0042339A" w:rsidRPr="0042339A" w:rsidRDefault="0042339A" w:rsidP="0042339A">
      <w:pPr>
        <w:framePr w:w="7817" w:h="1088" w:hSpace="180" w:wrap="around" w:vAnchor="text" w:hAnchor="page" w:x="1966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2339A">
        <w:rPr>
          <w:rFonts w:asciiTheme="minorHAnsi" w:hAnsiTheme="minorHAnsi"/>
          <w:sz w:val="22"/>
        </w:rPr>
        <w:t>No statistical methods were explicitly used to pre-determine sample sizes. All sample sizes were based on those used in similar previous publications. This information is outlined in the “Data analysis” portion of the Materials and Methods section.</w:t>
      </w:r>
    </w:p>
    <w:p w14:paraId="47571CE8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3FCCC37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44335550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005CB74E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FF0EB9F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588C2D1F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14ABD7F4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1F886F61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50259782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4D3223B4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17908330" w14:textId="77777777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E059744" w14:textId="77777777" w:rsidR="0042339A" w:rsidRPr="00505C51" w:rsidRDefault="0042339A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5788C279" w14:textId="77777777" w:rsidR="00980611" w:rsidRPr="0042339A" w:rsidRDefault="001D36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339A">
        <w:rPr>
          <w:rFonts w:asciiTheme="minorHAnsi" w:hAnsiTheme="minorHAnsi"/>
          <w:sz w:val="22"/>
          <w:szCs w:val="22"/>
        </w:rPr>
        <w:t xml:space="preserve">Each Western blot quantification represents 3-4 biological replicates on one technical replicate. </w:t>
      </w:r>
      <w:r w:rsidR="00980611" w:rsidRPr="0042339A">
        <w:rPr>
          <w:rFonts w:asciiTheme="minorHAnsi" w:hAnsiTheme="minorHAnsi"/>
          <w:sz w:val="22"/>
          <w:szCs w:val="22"/>
        </w:rPr>
        <w:t xml:space="preserve">Full Western blot membranes </w:t>
      </w:r>
      <w:r w:rsidR="0042339A" w:rsidRPr="0042339A">
        <w:rPr>
          <w:rFonts w:asciiTheme="minorHAnsi" w:hAnsiTheme="minorHAnsi"/>
          <w:sz w:val="22"/>
          <w:szCs w:val="22"/>
        </w:rPr>
        <w:t>will be publicly available with the other source data.</w:t>
      </w:r>
    </w:p>
    <w:p w14:paraId="349993B2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02C3D12F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D3CB06C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0C48E97E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6432517A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796C92D4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5549C33A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09D37DC9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18D4936" w14:textId="77777777" w:rsidR="00EF6FC9" w:rsidRPr="0042339A" w:rsidRDefault="00EF6FC9" w:rsidP="0042339A">
      <w:pPr>
        <w:framePr w:w="7817" w:h="627" w:hSpace="180" w:wrap="around" w:vAnchor="text" w:hAnchor="page" w:x="1904" w:y="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339A">
        <w:rPr>
          <w:rFonts w:asciiTheme="minorHAnsi" w:hAnsiTheme="minorHAnsi"/>
          <w:sz w:val="22"/>
          <w:szCs w:val="22"/>
        </w:rPr>
        <w:t>Data analysis are detailed in the “Data analysis” section of Materials and Methods.</w:t>
      </w:r>
    </w:p>
    <w:p w14:paraId="743E5124" w14:textId="77777777" w:rsidR="0015519A" w:rsidRPr="0042339A" w:rsidRDefault="00E827B9" w:rsidP="0042339A">
      <w:pPr>
        <w:framePr w:w="7817" w:h="627" w:hSpace="180" w:wrap="around" w:vAnchor="text" w:hAnchor="page" w:x="1904" w:y="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339A">
        <w:rPr>
          <w:rFonts w:asciiTheme="minorHAnsi" w:hAnsiTheme="minorHAnsi"/>
          <w:sz w:val="22"/>
          <w:szCs w:val="22"/>
        </w:rPr>
        <w:t>N, p-values and statistical tes</w:t>
      </w:r>
      <w:r w:rsidR="0023241F" w:rsidRPr="0042339A">
        <w:rPr>
          <w:rFonts w:asciiTheme="minorHAnsi" w:hAnsiTheme="minorHAnsi"/>
          <w:sz w:val="22"/>
          <w:szCs w:val="22"/>
        </w:rPr>
        <w:t>ts used are presented in figure</w:t>
      </w:r>
      <w:r w:rsidRPr="0042339A">
        <w:rPr>
          <w:rFonts w:asciiTheme="minorHAnsi" w:hAnsiTheme="minorHAnsi"/>
          <w:sz w:val="22"/>
          <w:szCs w:val="22"/>
        </w:rPr>
        <w:t xml:space="preserve"> legends.</w:t>
      </w:r>
    </w:p>
    <w:p w14:paraId="15BBB89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DA4F22F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1BEBEEE9" w14:textId="77777777" w:rsidR="00BC3CCE" w:rsidRDefault="00BC3CCE" w:rsidP="00FF5ED7">
      <w:pPr>
        <w:rPr>
          <w:rFonts w:asciiTheme="minorHAnsi" w:hAnsiTheme="minorHAnsi"/>
          <w:b/>
        </w:rPr>
      </w:pPr>
    </w:p>
    <w:p w14:paraId="45392175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3BC563EA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1E96DCC1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1C9F9C4D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323BF4B0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26DF0D" w14:textId="77777777" w:rsidR="00BC3CCE" w:rsidRPr="00505C51" w:rsidRDefault="00E827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339A">
        <w:rPr>
          <w:rFonts w:asciiTheme="minorHAnsi" w:hAnsiTheme="minorHAnsi"/>
          <w:sz w:val="22"/>
          <w:szCs w:val="22"/>
        </w:rPr>
        <w:t>Rats were pseudo-randomly assigned in two groups, RI and RR</w:t>
      </w:r>
      <w:r w:rsidR="008E6E50" w:rsidRPr="0042339A">
        <w:rPr>
          <w:rFonts w:asciiTheme="minorHAnsi" w:hAnsiTheme="minorHAnsi"/>
          <w:sz w:val="22"/>
          <w:szCs w:val="22"/>
        </w:rPr>
        <w:t xml:space="preserve"> and a within-subject design was used for devaluation. Drugs were administrated in a counter-balanced manner.</w:t>
      </w:r>
      <w:r w:rsidRPr="0042339A">
        <w:rPr>
          <w:rFonts w:asciiTheme="minorHAnsi" w:hAnsiTheme="minorHAnsi"/>
          <w:sz w:val="22"/>
          <w:szCs w:val="22"/>
        </w:rPr>
        <w:t xml:space="preserve"> This information is included in the “Habitual and goal directed alcohol seeking” section in Materials and Methods.</w:t>
      </w:r>
    </w:p>
    <w:p w14:paraId="0B47CAC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5C3AA143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50495BEF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2958BC70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4C41DBA5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1594234F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6F1B436C" w14:textId="77777777" w:rsidR="00A62B52" w:rsidRPr="009D17A4" w:rsidRDefault="00BA5BB7" w:rsidP="00A62B5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03F66925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F2C5AEE" w14:textId="77777777" w:rsidR="009D17A4" w:rsidRDefault="009D17A4" w:rsidP="00A62B52">
      <w:pPr>
        <w:rPr>
          <w:rFonts w:asciiTheme="minorHAnsi" w:hAnsiTheme="minorHAnsi"/>
          <w:sz w:val="22"/>
          <w:szCs w:val="22"/>
        </w:rPr>
      </w:pPr>
    </w:p>
    <w:p w14:paraId="03A90F91" w14:textId="77777777" w:rsidR="00BC3CCE" w:rsidRDefault="00980611" w:rsidP="0042339A">
      <w:pPr>
        <w:framePr w:w="7817" w:h="1955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Drinking data during the 30 minutes session before devaluation for each experiment are provided in Table 1.</w:t>
      </w:r>
    </w:p>
    <w:p w14:paraId="07C6DC82" w14:textId="77777777" w:rsidR="00980611" w:rsidRDefault="00980611" w:rsidP="0042339A">
      <w:pPr>
        <w:framePr w:w="7817" w:h="1955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Drinking data of rats used for biochemical experiments are provided in Table 2.</w:t>
      </w:r>
    </w:p>
    <w:p w14:paraId="73062EDB" w14:textId="77777777" w:rsidR="0023241F" w:rsidRDefault="0023241F" w:rsidP="0042339A">
      <w:pPr>
        <w:framePr w:w="7817" w:h="1955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 the end of Rapamycinor Ro25 infusion experiments (Figure 1, 2, 3 and 5), rats were euthanized and cannula placement was examined and reported.</w:t>
      </w:r>
    </w:p>
    <w:p w14:paraId="4F407A46" w14:textId="77777777" w:rsidR="00980611" w:rsidRPr="00505C51" w:rsidRDefault="0042339A" w:rsidP="0042339A">
      <w:pPr>
        <w:framePr w:w="7817" w:h="1955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additional source data will be made publicly available in an online repository prior to manuscript publication.</w:t>
      </w:r>
    </w:p>
    <w:p w14:paraId="779FACDD" w14:textId="77777777" w:rsidR="00A62B52" w:rsidRPr="00406FF4" w:rsidRDefault="00A62B52" w:rsidP="009D17A4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D69C2" w14:textId="77777777" w:rsidR="00B41E83" w:rsidRDefault="00B41E83" w:rsidP="004215FE">
      <w:r>
        <w:separator/>
      </w:r>
    </w:p>
  </w:endnote>
  <w:endnote w:type="continuationSeparator" w:id="0">
    <w:p w14:paraId="106D54E9" w14:textId="77777777" w:rsidR="00B41E83" w:rsidRDefault="00B41E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4B5A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57EC1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3CA1C1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7F1A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E79D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098DC260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48E2" w14:textId="77777777" w:rsidR="00B41E83" w:rsidRDefault="00B41E83" w:rsidP="004215FE">
      <w:r>
        <w:separator/>
      </w:r>
    </w:p>
  </w:footnote>
  <w:footnote w:type="continuationSeparator" w:id="0">
    <w:p w14:paraId="5845C284" w14:textId="77777777" w:rsidR="00B41E83" w:rsidRDefault="00B41E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29D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38CD6005" wp14:editId="39E9850C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657"/>
    <w:rsid w:val="001E1D59"/>
    <w:rsid w:val="00212F30"/>
    <w:rsid w:val="00217B9E"/>
    <w:rsid w:val="0023241F"/>
    <w:rsid w:val="002336C6"/>
    <w:rsid w:val="00241081"/>
    <w:rsid w:val="00266462"/>
    <w:rsid w:val="002A068D"/>
    <w:rsid w:val="002A0ED1"/>
    <w:rsid w:val="002A7487"/>
    <w:rsid w:val="002E79D4"/>
    <w:rsid w:val="00307F5D"/>
    <w:rsid w:val="003248ED"/>
    <w:rsid w:val="00370080"/>
    <w:rsid w:val="003F19A6"/>
    <w:rsid w:val="00402ADD"/>
    <w:rsid w:val="00406FF4"/>
    <w:rsid w:val="0041682E"/>
    <w:rsid w:val="004215FE"/>
    <w:rsid w:val="0042339A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6F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6E50"/>
    <w:rsid w:val="00912B0B"/>
    <w:rsid w:val="009205E9"/>
    <w:rsid w:val="0092438C"/>
    <w:rsid w:val="00941D04"/>
    <w:rsid w:val="00963CEF"/>
    <w:rsid w:val="00980611"/>
    <w:rsid w:val="00993065"/>
    <w:rsid w:val="009A0661"/>
    <w:rsid w:val="009D0D28"/>
    <w:rsid w:val="009D17A4"/>
    <w:rsid w:val="009E6ACE"/>
    <w:rsid w:val="009E7B13"/>
    <w:rsid w:val="009F43EA"/>
    <w:rsid w:val="00A11EC6"/>
    <w:rsid w:val="00A11FEC"/>
    <w:rsid w:val="00A131BD"/>
    <w:rsid w:val="00A32E20"/>
    <w:rsid w:val="00A5368C"/>
    <w:rsid w:val="00A62B52"/>
    <w:rsid w:val="00A84B3E"/>
    <w:rsid w:val="00AB5612"/>
    <w:rsid w:val="00AC3B3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E83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7B9"/>
    <w:rsid w:val="00E870D1"/>
    <w:rsid w:val="00ED346E"/>
    <w:rsid w:val="00EF19E1"/>
    <w:rsid w:val="00EF6FC9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1CF929"/>
  <w15:docId w15:val="{4F318E15-B7F9-4360-B6C8-68E81170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11559-BF92-2845-8915-02AE0ED4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2019-12-03T21:16:00Z</dcterms:created>
  <dcterms:modified xsi:type="dcterms:W3CDTF">2019-12-03T21:16:00Z</dcterms:modified>
</cp:coreProperties>
</file>