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650E9">
        <w:fldChar w:fldCharType="begin"/>
      </w:r>
      <w:r w:rsidR="00E650E9">
        <w:instrText xml:space="preserve"> HYPERLINK "https://biosharing.org/" \t "_blank" </w:instrText>
      </w:r>
      <w:r w:rsidR="00E650E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650E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E870D75" w:rsidR="00877644" w:rsidRPr="00125190" w:rsidRDefault="001E03C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used. Replicates and sample sizes were determined from previous experiments and published data using similar compounds.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9FB79FF" w:rsidR="00B330BD" w:rsidRPr="00125190" w:rsidRDefault="0050243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1E03C6">
        <w:rPr>
          <w:rFonts w:asciiTheme="minorHAnsi" w:hAnsiTheme="minorHAnsi"/>
        </w:rPr>
        <w:t>e have reported the number of cells (N) used in each experiment (this information is found in the figure legend for each figure).</w:t>
      </w:r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2E30BE3" w:rsidR="0015519A" w:rsidRPr="00505C51" w:rsidRDefault="001E03C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described the statistical analyses and references to the p values used in this manuscript in the Methods section.  The specific statistics (</w:t>
      </w:r>
      <w:proofErr w:type="spellStart"/>
      <w:r>
        <w:rPr>
          <w:rFonts w:asciiTheme="minorHAnsi" w:hAnsiTheme="minorHAnsi"/>
          <w:sz w:val="22"/>
          <w:szCs w:val="22"/>
        </w:rPr>
        <w:t>ie</w:t>
      </w:r>
      <w:proofErr w:type="spellEnd"/>
      <w:r>
        <w:rPr>
          <w:rFonts w:asciiTheme="minorHAnsi" w:hAnsiTheme="minorHAnsi"/>
          <w:sz w:val="22"/>
          <w:szCs w:val="22"/>
        </w:rPr>
        <w:t xml:space="preserve"> mean </w:t>
      </w:r>
      <w:r>
        <w:rPr>
          <w:rFonts w:ascii="Calibri" w:hAnsi="Calibri" w:cs="Calibri"/>
          <w:sz w:val="22"/>
          <w:szCs w:val="22"/>
        </w:rPr>
        <w:t>±</w:t>
      </w:r>
      <w:r>
        <w:rPr>
          <w:rFonts w:asciiTheme="minorHAnsi" w:hAnsiTheme="minorHAnsi"/>
          <w:sz w:val="22"/>
          <w:szCs w:val="22"/>
        </w:rPr>
        <w:t xml:space="preserve"> SEM), n number are found in the figure legends. P values are reported in Summary Table 1</w:t>
      </w:r>
      <w:r w:rsidR="00BB3CF8">
        <w:rPr>
          <w:rFonts w:asciiTheme="minorHAnsi" w:hAnsiTheme="minorHAnsi"/>
          <w:sz w:val="22"/>
          <w:szCs w:val="22"/>
        </w:rPr>
        <w:t xml:space="preserve"> and found within the text in the Results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92197B" w:rsidR="00BC3CCE" w:rsidRPr="00505C51" w:rsidRDefault="00BB3CF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is grouped by the specific compound tested and the ion channel it is being applied to. Data is represented accordingly in the Results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2BB6D7B" w:rsidR="00BC3CCE" w:rsidRDefault="003B128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for figures 4-10 have been uploaded as Source data in table format</w:t>
      </w:r>
      <w:r w:rsidR="001E03C6">
        <w:rPr>
          <w:rFonts w:asciiTheme="minorHAnsi" w:hAnsiTheme="minorHAnsi"/>
          <w:sz w:val="22"/>
          <w:szCs w:val="22"/>
        </w:rPr>
        <w:t>, linked to the corresponding figure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3A9C55ED" w14:textId="1A99478E" w:rsidR="003B1282" w:rsidRDefault="003B128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67E7880" w14:textId="2A12B4A9" w:rsidR="001E03C6" w:rsidRDefault="003B128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3B1282">
        <w:rPr>
          <w:rFonts w:ascii="Calibri" w:hAnsi="Calibri" w:cs="Calibri"/>
          <w:sz w:val="22"/>
          <w:szCs w:val="22"/>
        </w:rPr>
        <w:t xml:space="preserve">MATLAB code used in cardiomyocyte simulations is published (O’Hara, T., </w:t>
      </w:r>
      <w:proofErr w:type="spellStart"/>
      <w:r w:rsidRPr="003B1282">
        <w:rPr>
          <w:rFonts w:ascii="Calibri" w:hAnsi="Calibri" w:cs="Calibri"/>
          <w:sz w:val="22"/>
          <w:szCs w:val="22"/>
        </w:rPr>
        <w:t>Virag</w:t>
      </w:r>
      <w:proofErr w:type="spellEnd"/>
      <w:r w:rsidRPr="003B1282">
        <w:rPr>
          <w:rFonts w:ascii="Calibri" w:hAnsi="Calibri" w:cs="Calibri"/>
          <w:sz w:val="22"/>
          <w:szCs w:val="22"/>
        </w:rPr>
        <w:t xml:space="preserve">, L., and Rudy, Y. 2011. Simulation of the </w:t>
      </w:r>
      <w:proofErr w:type="spellStart"/>
      <w:r w:rsidRPr="003B1282">
        <w:rPr>
          <w:rFonts w:ascii="Calibri" w:hAnsi="Calibri" w:cs="Calibri"/>
          <w:sz w:val="22"/>
          <w:szCs w:val="22"/>
        </w:rPr>
        <w:t>undiseased</w:t>
      </w:r>
      <w:proofErr w:type="spellEnd"/>
      <w:r w:rsidRPr="003B1282">
        <w:rPr>
          <w:rFonts w:ascii="Calibri" w:hAnsi="Calibri" w:cs="Calibri"/>
          <w:sz w:val="22"/>
          <w:szCs w:val="22"/>
        </w:rPr>
        <w:t xml:space="preserve"> human cardiac ventricular action potential: model formulation and experimental validation. </w:t>
      </w:r>
      <w:proofErr w:type="spellStart"/>
      <w:r w:rsidRPr="003B1282">
        <w:rPr>
          <w:rFonts w:ascii="Calibri" w:hAnsi="Calibri" w:cs="Calibri"/>
          <w:i/>
          <w:iCs/>
          <w:sz w:val="22"/>
          <w:szCs w:val="22"/>
        </w:rPr>
        <w:t>PLoS</w:t>
      </w:r>
      <w:proofErr w:type="spellEnd"/>
      <w:r w:rsidRPr="003B1282">
        <w:rPr>
          <w:rFonts w:ascii="Calibri" w:hAnsi="Calibri" w:cs="Calibri"/>
          <w:i/>
          <w:iCs/>
          <w:sz w:val="22"/>
          <w:szCs w:val="22"/>
        </w:rPr>
        <w:t xml:space="preserve"> Computational Biology</w:t>
      </w:r>
      <w:r w:rsidRPr="003B1282">
        <w:rPr>
          <w:rFonts w:ascii="Calibri" w:hAnsi="Calibri" w:cs="Calibri"/>
          <w:sz w:val="22"/>
          <w:szCs w:val="22"/>
        </w:rPr>
        <w:t>.</w:t>
      </w:r>
      <w:r w:rsidRPr="003B12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3B128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doi</w:t>
      </w:r>
      <w:proofErr w:type="spellEnd"/>
      <w:r w:rsidRPr="003B128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: 10.1371/journal.pcbi.1002061)</w:t>
      </w:r>
      <w:r w:rsidRPr="003B1282">
        <w:rPr>
          <w:rFonts w:ascii="Calibri" w:hAnsi="Calibri" w:cs="Calibri"/>
          <w:sz w:val="22"/>
          <w:szCs w:val="22"/>
        </w:rPr>
        <w:t>)</w:t>
      </w:r>
    </w:p>
    <w:p w14:paraId="2AA98E2A" w14:textId="79861F7A" w:rsidR="001E03C6" w:rsidRDefault="001E03C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29728F32" w14:textId="33F9F232" w:rsidR="001E03C6" w:rsidRPr="001E03C6" w:rsidRDefault="001E03C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paper is referenced in the Methods Section and the corresponding Results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AA54F" w14:textId="77777777" w:rsidR="00E650E9" w:rsidRDefault="00E650E9" w:rsidP="004215FE">
      <w:r>
        <w:separator/>
      </w:r>
    </w:p>
  </w:endnote>
  <w:endnote w:type="continuationSeparator" w:id="0">
    <w:p w14:paraId="03FC1392" w14:textId="77777777" w:rsidR="00E650E9" w:rsidRDefault="00E650E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0243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9BB5C" w14:textId="77777777" w:rsidR="00E650E9" w:rsidRDefault="00E650E9" w:rsidP="004215FE">
      <w:r>
        <w:separator/>
      </w:r>
    </w:p>
  </w:footnote>
  <w:footnote w:type="continuationSeparator" w:id="0">
    <w:p w14:paraId="7C0BD66F" w14:textId="77777777" w:rsidR="00E650E9" w:rsidRDefault="00E650E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03C6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128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243C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3E72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3CF8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50E9"/>
    <w:rsid w:val="00E70517"/>
    <w:rsid w:val="00E870D1"/>
    <w:rsid w:val="00ED346E"/>
    <w:rsid w:val="00EF7423"/>
    <w:rsid w:val="00F27DEC"/>
    <w:rsid w:val="00F3344F"/>
    <w:rsid w:val="00F57085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DB3AA21-C180-3147-A1F2-5CC01A33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DEFFE4-697E-B44E-9D02-B76712F1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Bree Watkins</cp:lastModifiedBy>
  <cp:revision>2</cp:revision>
  <dcterms:created xsi:type="dcterms:W3CDTF">2019-09-16T16:22:00Z</dcterms:created>
  <dcterms:modified xsi:type="dcterms:W3CDTF">2019-09-16T16:22:00Z</dcterms:modified>
</cp:coreProperties>
</file>