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A2F3FAA" w:rsidR="00877644" w:rsidRPr="00125190" w:rsidRDefault="007F6CC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is the first study with naturalistic music and TRF analyses. As such, we adopted a sample size N=20, which is greater or similar to most previous studies with similar methodologies </w:t>
      </w:r>
      <w:r w:rsidR="0088237E">
        <w:rPr>
          <w:rFonts w:asciiTheme="minorHAnsi" w:hAnsiTheme="minorHAnsi"/>
        </w:rPr>
        <w:t xml:space="preserve">in the domain of speech perception </w:t>
      </w:r>
      <w:r>
        <w:rPr>
          <w:rFonts w:asciiTheme="minorHAnsi" w:hAnsiTheme="minorHAnsi"/>
        </w:rPr>
        <w:t>(Di Liberto et al., Curr Bio 2015; Broderick et al., Curr Bio 2018; Daube et al., Curr Bio, 2019).</w:t>
      </w:r>
    </w:p>
    <w:p w14:paraId="7FF843C9" w14:textId="77777777" w:rsidR="0015519A" w:rsidRPr="007F6CCA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31F959" w:rsidR="00B330BD" w:rsidRPr="00125190" w:rsidRDefault="0088237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the criteria for data exclusion can be found in the Methods section (EEG and ECoG preprocessing subsections).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6BEC24A" w:rsidR="0015519A" w:rsidRPr="00505C51" w:rsidRDefault="000D38F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paper includes a ‘Statistical analysis’ subsection in the Methods section describing our statistical procedure. Furthermore, information such as effect size and p-values is reported throughout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BC05E2A" w:rsidR="00BC3CCE" w:rsidRPr="00505C51" w:rsidRDefault="000D38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participant recruitment and group allocation can be found in the EEG and ECoG data acquisition subsections within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B20284" w:rsidR="00BC3CCE" w:rsidRPr="00505C51" w:rsidRDefault="00613F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EEG d</w:t>
      </w:r>
      <w:r w:rsidR="000D38F7">
        <w:rPr>
          <w:rFonts w:asciiTheme="minorHAnsi" w:hAnsiTheme="minorHAnsi"/>
          <w:sz w:val="22"/>
          <w:szCs w:val="22"/>
        </w:rPr>
        <w:t xml:space="preserve">ata </w:t>
      </w:r>
      <w:r>
        <w:rPr>
          <w:rFonts w:asciiTheme="minorHAnsi" w:hAnsiTheme="minorHAnsi"/>
          <w:sz w:val="22"/>
          <w:szCs w:val="22"/>
        </w:rPr>
        <w:t>have been shared</w:t>
      </w:r>
      <w:r w:rsidR="000D38F7">
        <w:rPr>
          <w:rFonts w:asciiTheme="minorHAnsi" w:hAnsiTheme="minorHAnsi"/>
          <w:sz w:val="22"/>
          <w:szCs w:val="22"/>
        </w:rPr>
        <w:t xml:space="preserve"> for Figures 1, 2, 5A,B, 6A,B,C, and 7.</w:t>
      </w:r>
      <w:r>
        <w:rPr>
          <w:rFonts w:asciiTheme="minorHAnsi" w:hAnsiTheme="minorHAnsi"/>
          <w:sz w:val="22"/>
          <w:szCs w:val="22"/>
        </w:rPr>
        <w:t xml:space="preserve"> The analysis was conducted by using publicly available Matlab libraries that were appropriately cited in the manuscript.</w:t>
      </w:r>
      <w:r w:rsidR="000D38F7">
        <w:rPr>
          <w:rFonts w:asciiTheme="minorHAnsi" w:hAnsiTheme="minorHAnsi"/>
          <w:sz w:val="22"/>
          <w:szCs w:val="22"/>
        </w:rPr>
        <w:t xml:space="preserve"> </w:t>
      </w:r>
      <w:r w:rsidR="00003D0D">
        <w:rPr>
          <w:rFonts w:asciiTheme="minorHAnsi" w:hAnsiTheme="minorHAnsi"/>
          <w:sz w:val="22"/>
          <w:szCs w:val="22"/>
        </w:rPr>
        <w:t>Electrode location data have been provided for Figures 3 and 4.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005D2" w14:textId="77777777" w:rsidR="004609AB" w:rsidRDefault="004609AB" w:rsidP="004215FE">
      <w:r>
        <w:separator/>
      </w:r>
    </w:p>
  </w:endnote>
  <w:endnote w:type="continuationSeparator" w:id="0">
    <w:p w14:paraId="69C1881C" w14:textId="77777777" w:rsidR="004609AB" w:rsidRDefault="004609A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A4F715C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0F260B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4E248" w14:textId="77777777" w:rsidR="004609AB" w:rsidRDefault="004609AB" w:rsidP="004215FE">
      <w:r>
        <w:separator/>
      </w:r>
    </w:p>
  </w:footnote>
  <w:footnote w:type="continuationSeparator" w:id="0">
    <w:p w14:paraId="5C5470EF" w14:textId="77777777" w:rsidR="004609AB" w:rsidRDefault="004609A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3D0D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8F7"/>
    <w:rsid w:val="000D62F9"/>
    <w:rsid w:val="000F260B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09AB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3FFA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6CCA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37E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FFAED0A-ABDB-4DDA-A23E-BFA2FC34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B2C9F9-BF90-4B8B-B2C0-B862D4BB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Giovanni Di Liberto</cp:lastModifiedBy>
  <cp:revision>2</cp:revision>
  <dcterms:created xsi:type="dcterms:W3CDTF">2019-09-30T04:33:00Z</dcterms:created>
  <dcterms:modified xsi:type="dcterms:W3CDTF">2019-09-30T04:33:00Z</dcterms:modified>
</cp:coreProperties>
</file>