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CF950A2" w14:textId="77777777" w:rsidR="001F4D9D" w:rsidRDefault="001F4D9D" w:rsidP="001F4D9D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18"/>
          <w:szCs w:val="18"/>
        </w:rPr>
        <w:t>The information about sample sizes was included in Methods section (“Estimation of spatial ITD discriminability thresholds”; “Collection and analysis of the Mismatch Negativity (MMN) component”)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7E197B3" w:rsidR="00B330BD" w:rsidRPr="00125190" w:rsidRDefault="001F4D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The information about replicates was included in Methods section (“Estimation of spatial ITD discriminability thresholds”; “Prediction of spatial discriminability thresholds by ITD statistics”; “Collection and analysis of the Mismatch Negativity (MMN) component”; “Prediction of MMN by ITD statistics”)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B6D580" w:rsidR="0015519A" w:rsidRPr="00505C51" w:rsidRDefault="001F4D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The  information about statistical reporting was included in Methods section (“Prediction of spatial discriminability thresholds by ITD statistics”; “Prediction of MMN by ITD statistics”)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CEB3E8" w14:textId="50647605" w:rsidR="001F4D9D" w:rsidRDefault="001F4D9D" w:rsidP="001F4D9D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18"/>
          <w:szCs w:val="18"/>
        </w:rPr>
        <w:t>The information that there are no distinct groups in the experiments was included in Methods section (“Estimation of spatial ITD discriminability thresholds”; “Collection and analysis of the Mismatch Negativity (MMN) component”)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E2BD84" w:rsidR="00BC3CCE" w:rsidRPr="00505C51" w:rsidRDefault="001F4D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The information about the availability of source data and codes was provided in the last paragraph of Methods section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848A2" w14:textId="77777777" w:rsidR="005D7F42" w:rsidRDefault="005D7F42" w:rsidP="004215FE">
      <w:r>
        <w:separator/>
      </w:r>
    </w:p>
  </w:endnote>
  <w:endnote w:type="continuationSeparator" w:id="0">
    <w:p w14:paraId="761B8736" w14:textId="77777777" w:rsidR="005D7F42" w:rsidRDefault="005D7F4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F4D9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5CBB4" w14:textId="77777777" w:rsidR="005D7F42" w:rsidRDefault="005D7F42" w:rsidP="004215FE">
      <w:r>
        <w:separator/>
      </w:r>
    </w:p>
  </w:footnote>
  <w:footnote w:type="continuationSeparator" w:id="0">
    <w:p w14:paraId="636E4B6B" w14:textId="77777777" w:rsidR="005D7F42" w:rsidRDefault="005D7F4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4D9D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7F4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D9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D9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C0AAA8-54BA-4162-A4CB-CED6641F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rpavao</cp:lastModifiedBy>
  <cp:revision>2</cp:revision>
  <dcterms:created xsi:type="dcterms:W3CDTF">2019-12-19T20:36:00Z</dcterms:created>
  <dcterms:modified xsi:type="dcterms:W3CDTF">2019-12-19T20:36:00Z</dcterms:modified>
</cp:coreProperties>
</file>