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DOTAP validation.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bilayer area per lipid (APL) and bilayer thickness (BT) were compared to experiments and AA simulations.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DOTAP parameters can be found online at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‘</w:t>
      </w:r>
      <w:hyperlink r:id="rId6">
        <w:r w:rsidDel="00000000" w:rsidR="00000000" w:rsidRPr="00000000">
          <w:rPr>
            <w:i w:val="0"/>
            <w:smallCaps w:val="0"/>
            <w:strike w:val="0"/>
            <w:color w:val="000000"/>
            <w:sz w:val="24"/>
            <w:szCs w:val="24"/>
            <w:u w:val="single"/>
            <w:vertAlign w:val="baseline"/>
            <w:rtl w:val="0"/>
          </w:rPr>
          <w:t xml:space="preserve">http://cgmartini.nl/index.php/force-field-parameters/lipids2/350-lipid-details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5.0" w:type="dxa"/>
        <w:jc w:val="center"/>
        <w:tblBorders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92"/>
        <w:gridCol w:w="1544"/>
        <w:gridCol w:w="1621"/>
        <w:gridCol w:w="1368"/>
        <w:tblGridChange w:id="0">
          <w:tblGrid>
            <w:gridCol w:w="1992"/>
            <w:gridCol w:w="1544"/>
            <w:gridCol w:w="1621"/>
            <w:gridCol w:w="1368"/>
          </w:tblGrid>
        </w:tblGridChange>
      </w:tblGrid>
      <w:tr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Property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Mean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SEM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APL(nm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.70*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4.14E-05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u w:val="none"/>
                <w:vertAlign w:val="superscript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APL(nm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1.00E-02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BT(nm)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.38*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4.15E-04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vertAlign w:val="superscript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BT(nm)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5.00E-02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Experimental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u w:val="none"/>
                <w:vertAlign w:val="superscript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BT(nm)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2.00E-01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*The rounding error was larger than the SEM.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** </w:t>
      </w:r>
      <w:hyperlink r:id="rId7">
        <w:r w:rsidDel="00000000" w:rsidR="00000000" w:rsidRPr="00000000">
          <w:rPr>
            <w:rtl w:val="0"/>
          </w:rPr>
          <w:t xml:space="preserve">Pokorna, S., Jurkiewicz, P., Cwiklik, L., Vazdar, M. &amp; Hof, M. Interactions of monovalent salts with cationic lipid bilayers. </w:t>
        </w:r>
      </w:hyperlink>
      <w:hyperlink r:id="rId8">
        <w:r w:rsidDel="00000000" w:rsidR="00000000" w:rsidRPr="00000000">
          <w:rPr>
            <w:i w:val="1"/>
            <w:sz w:val="22"/>
            <w:szCs w:val="22"/>
            <w:rtl w:val="0"/>
          </w:rPr>
          <w:t xml:space="preserve">Faraday Discuss.</w:t>
        </w:r>
      </w:hyperlink>
      <w:hyperlink r:id="rId9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sz w:val="22"/>
            <w:szCs w:val="22"/>
            <w:rtl w:val="0"/>
          </w:rPr>
          <w:t xml:space="preserve">160</w:t>
        </w:r>
      </w:hyperlink>
      <w:hyperlink r:id="rId11">
        <w:r w:rsidDel="00000000" w:rsidR="00000000" w:rsidRPr="00000000">
          <w:rPr>
            <w:sz w:val="22"/>
            <w:szCs w:val="22"/>
            <w:rtl w:val="0"/>
          </w:rPr>
          <w:t xml:space="preserve">, 341–58; discussion 389–403 (2013).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*** </w:t>
      </w:r>
      <w:hyperlink r:id="rId12">
        <w:r w:rsidDel="00000000" w:rsidR="00000000" w:rsidRPr="00000000">
          <w:rPr>
            <w:sz w:val="22"/>
            <w:szCs w:val="22"/>
            <w:rtl w:val="0"/>
          </w:rPr>
          <w:t xml:space="preserve">Leonenko, Z. V. &amp; Cramb, D. T. Revisiting lipid – general anesthetic interactions (I): Thinned domain formation in supported planar bilayers induced by halothane and ethanol. </w:t>
        </w:r>
      </w:hyperlink>
      <w:hyperlink r:id="rId13">
        <w:r w:rsidDel="00000000" w:rsidR="00000000" w:rsidRPr="00000000">
          <w:rPr>
            <w:i w:val="1"/>
            <w:sz w:val="22"/>
            <w:szCs w:val="22"/>
            <w:rtl w:val="0"/>
          </w:rPr>
          <w:t xml:space="preserve">Can. J. Chem</w:t>
        </w:r>
      </w:hyperlink>
      <w:hyperlink r:id="rId14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15">
        <w:r w:rsidDel="00000000" w:rsidR="00000000" w:rsidRPr="00000000">
          <w:rPr>
            <w:b w:val="1"/>
            <w:sz w:val="22"/>
            <w:szCs w:val="22"/>
            <w:rtl w:val="0"/>
          </w:rPr>
          <w:t xml:space="preserve">82</w:t>
        </w:r>
      </w:hyperlink>
      <w:hyperlink r:id="rId16">
        <w:r w:rsidDel="00000000" w:rsidR="00000000" w:rsidRPr="00000000">
          <w:rPr>
            <w:sz w:val="22"/>
            <w:szCs w:val="22"/>
            <w:rtl w:val="0"/>
          </w:rPr>
          <w:t xml:space="preserve">, 1128–1138 (2004).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aperpile.com/b/Wdcx4d/0W9At" TargetMode="External"/><Relationship Id="rId10" Type="http://schemas.openxmlformats.org/officeDocument/2006/relationships/hyperlink" Target="http://paperpile.com/b/Wdcx4d/0W9At" TargetMode="External"/><Relationship Id="rId13" Type="http://schemas.openxmlformats.org/officeDocument/2006/relationships/hyperlink" Target="http://paperpile.com/b/Wdcx4d/c8IFe" TargetMode="External"/><Relationship Id="rId12" Type="http://schemas.openxmlformats.org/officeDocument/2006/relationships/hyperlink" Target="http://paperpile.com/b/Wdcx4d/c8IF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aperpile.com/b/Wdcx4d/0W9At" TargetMode="External"/><Relationship Id="rId15" Type="http://schemas.openxmlformats.org/officeDocument/2006/relationships/hyperlink" Target="http://paperpile.com/b/Wdcx4d/c8IFe" TargetMode="External"/><Relationship Id="rId14" Type="http://schemas.openxmlformats.org/officeDocument/2006/relationships/hyperlink" Target="http://paperpile.com/b/Wdcx4d/c8IFe" TargetMode="External"/><Relationship Id="rId16" Type="http://schemas.openxmlformats.org/officeDocument/2006/relationships/hyperlink" Target="http://paperpile.com/b/Wdcx4d/c8IFe" TargetMode="External"/><Relationship Id="rId5" Type="http://schemas.openxmlformats.org/officeDocument/2006/relationships/styles" Target="styles.xml"/><Relationship Id="rId6" Type="http://schemas.openxmlformats.org/officeDocument/2006/relationships/hyperlink" Target="http://cgmartini.nl/index.php/force-field-parameters/lipids2/350-lipid-details" TargetMode="External"/><Relationship Id="rId7" Type="http://schemas.openxmlformats.org/officeDocument/2006/relationships/hyperlink" Target="http://paperpile.com/b/Wdcx4d/0W9At" TargetMode="External"/><Relationship Id="rId8" Type="http://schemas.openxmlformats.org/officeDocument/2006/relationships/hyperlink" Target="http://paperpile.com/b/Wdcx4d/0W9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