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1" w:rsidRPr="00E15187" w:rsidRDefault="00675518" w:rsidP="004207D1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Figure 2_source data 1</w:t>
      </w:r>
      <w:bookmarkStart w:id="0" w:name="_GoBack"/>
      <w:bookmarkEnd w:id="0"/>
      <w:r>
        <w:rPr>
          <w:rFonts w:cs="Arial"/>
          <w:b/>
          <w:sz w:val="20"/>
          <w:szCs w:val="20"/>
          <w:lang w:val="en-US"/>
        </w:rPr>
        <w:t>.</w:t>
      </w:r>
      <w:r w:rsidR="004207D1" w:rsidRPr="00E15187">
        <w:rPr>
          <w:rFonts w:cs="Arial"/>
          <w:sz w:val="20"/>
          <w:szCs w:val="20"/>
          <w:lang w:val="en-US"/>
        </w:rPr>
        <w:t xml:space="preserve"> Crystallographic data collection and refinement statistics. </w:t>
      </w:r>
    </w:p>
    <w:tbl>
      <w:tblPr>
        <w:tblW w:w="4141" w:type="pct"/>
        <w:tblLook w:val="01E0" w:firstRow="1" w:lastRow="1" w:firstColumn="1" w:lastColumn="1" w:noHBand="0" w:noVBand="0"/>
      </w:tblPr>
      <w:tblGrid>
        <w:gridCol w:w="2982"/>
        <w:gridCol w:w="2264"/>
        <w:gridCol w:w="2267"/>
      </w:tblGrid>
      <w:tr w:rsidR="00F87633" w:rsidRPr="00675518" w:rsidTr="008E0DA0"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  <w:u w:val="single"/>
                <w:lang w:val="en-US"/>
              </w:rPr>
            </w:pPr>
            <w:r w:rsidRPr="00E15187">
              <w:rPr>
                <w:rFonts w:eastAsia="Calibri" w:cs="Arial"/>
                <w:lang w:val="en-US"/>
              </w:rPr>
              <w:br w:type="page"/>
            </w:r>
            <w:r w:rsidRPr="00E15187">
              <w:rPr>
                <w:rFonts w:eastAsia="Calibri" w:cs="Arial"/>
                <w:lang w:val="en-US"/>
              </w:rPr>
              <w:br w:type="page"/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33" w:rsidRPr="00675518" w:rsidRDefault="00F87633" w:rsidP="00533870">
            <w:pPr>
              <w:spacing w:line="240" w:lineRule="auto"/>
              <w:rPr>
                <w:rFonts w:eastAsia="Calibri" w:cs="Arial"/>
                <w:b/>
                <w:bCs/>
                <w:iCs/>
                <w:sz w:val="20"/>
                <w:lang w:val="en-US"/>
              </w:rPr>
            </w:pPr>
            <w:r w:rsidRPr="00675518">
              <w:rPr>
                <w:rFonts w:eastAsia="Calibri" w:cs="Arial"/>
                <w:b/>
                <w:bCs/>
                <w:iCs/>
                <w:sz w:val="20"/>
                <w:lang w:val="en-US"/>
              </w:rPr>
              <w:t>W</w:t>
            </w:r>
            <w:r w:rsidR="00533870" w:rsidRPr="00675518">
              <w:rPr>
                <w:rFonts w:eastAsia="Calibri" w:cs="Arial"/>
                <w:b/>
                <w:bCs/>
                <w:iCs/>
                <w:sz w:val="20"/>
                <w:lang w:val="en-US"/>
              </w:rPr>
              <w:t>T</w:t>
            </w:r>
            <w:r w:rsidRPr="00675518">
              <w:rPr>
                <w:rFonts w:eastAsia="Calibri" w:cs="Arial"/>
                <w:b/>
                <w:bCs/>
                <w:iCs/>
                <w:sz w:val="20"/>
                <w:lang w:val="en-US"/>
              </w:rPr>
              <w:t>-1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b/>
                <w:bCs/>
                <w:iCs/>
                <w:sz w:val="20"/>
                <w:lang w:val="en-US"/>
              </w:rPr>
            </w:pPr>
            <w:r w:rsidRPr="00675518">
              <w:rPr>
                <w:rFonts w:eastAsia="Calibri" w:cs="Arial"/>
                <w:b/>
                <w:bCs/>
                <w:iCs/>
                <w:sz w:val="20"/>
                <w:lang w:val="en-US"/>
              </w:rPr>
              <w:t>Pat-1</w:t>
            </w:r>
          </w:p>
        </w:tc>
      </w:tr>
      <w:tr w:rsidR="00F87633" w:rsidRPr="00675518" w:rsidTr="008E0DA0">
        <w:tc>
          <w:tcPr>
            <w:tcW w:w="1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633" w:rsidRPr="00675518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F87633" w:rsidRPr="00675518" w:rsidTr="008E0DA0">
        <w:tc>
          <w:tcPr>
            <w:tcW w:w="1984" w:type="pct"/>
          </w:tcPr>
          <w:p w:rsidR="00F87633" w:rsidRPr="00675518" w:rsidRDefault="00F87633" w:rsidP="00F8763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675518">
              <w:rPr>
                <w:rFonts w:eastAsia="Calibri" w:cs="Arial"/>
                <w:b/>
                <w:bCs/>
                <w:sz w:val="20"/>
                <w:szCs w:val="20"/>
                <w:u w:val="single"/>
                <w:lang w:val="en-US"/>
              </w:rPr>
              <w:t>Crystal parameters</w:t>
            </w:r>
          </w:p>
        </w:tc>
        <w:tc>
          <w:tcPr>
            <w:tcW w:w="1507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09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7633" w:rsidRPr="00675518" w:rsidTr="008E0DA0">
        <w:tc>
          <w:tcPr>
            <w:tcW w:w="1984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Space group</w:t>
            </w:r>
          </w:p>
        </w:tc>
        <w:tc>
          <w:tcPr>
            <w:tcW w:w="1507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P6</w:t>
            </w:r>
            <w:r w:rsidRPr="00675518">
              <w:rPr>
                <w:rFonts w:eastAsia="Calibri" w:cs="Arial"/>
                <w:sz w:val="20"/>
                <w:szCs w:val="20"/>
                <w:vertAlign w:val="subscript"/>
                <w:lang w:val="en-US"/>
              </w:rPr>
              <w:t>3</w:t>
            </w: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509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P6</w:t>
            </w:r>
            <w:r w:rsidRPr="00675518">
              <w:rPr>
                <w:rFonts w:eastAsia="Calibri" w:cs="Arial"/>
                <w:sz w:val="20"/>
                <w:szCs w:val="20"/>
                <w:vertAlign w:val="subscript"/>
                <w:lang w:val="en-US"/>
              </w:rPr>
              <w:t>1</w:t>
            </w: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22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Cell constants</w:t>
            </w:r>
          </w:p>
        </w:tc>
        <w:tc>
          <w:tcPr>
            <w:tcW w:w="1507" w:type="pct"/>
          </w:tcPr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a = b = 104.5 Å</w:t>
            </w:r>
          </w:p>
          <w:p w:rsidR="00F87633" w:rsidRPr="00675518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c</w:t>
            </w:r>
            <w:r w:rsidR="00533870" w:rsidRPr="00675518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= 55.2 Å</w:t>
            </w:r>
          </w:p>
        </w:tc>
        <w:tc>
          <w:tcPr>
            <w:tcW w:w="1509" w:type="pct"/>
          </w:tcPr>
          <w:p w:rsidR="00F87633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675518">
              <w:rPr>
                <w:rFonts w:eastAsia="Calibri" w:cs="Arial"/>
                <w:sz w:val="20"/>
                <w:szCs w:val="20"/>
                <w:lang w:val="en-US"/>
              </w:rPr>
              <w:t>a = b = 127.</w:t>
            </w:r>
            <w:r>
              <w:rPr>
                <w:rFonts w:eastAsia="Calibri" w:cs="Arial"/>
                <w:sz w:val="20"/>
                <w:szCs w:val="20"/>
              </w:rPr>
              <w:t xml:space="preserve">3 </w:t>
            </w:r>
            <w:r w:rsidRPr="00E15187">
              <w:rPr>
                <w:rFonts w:eastAsia="Calibri" w:cs="Arial"/>
                <w:sz w:val="20"/>
                <w:szCs w:val="20"/>
              </w:rPr>
              <w:t>Å</w:t>
            </w:r>
          </w:p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c= 81.8 </w:t>
            </w:r>
            <w:r w:rsidRPr="00E15187">
              <w:rPr>
                <w:rFonts w:eastAsia="Calibri" w:cs="Arial"/>
                <w:sz w:val="20"/>
                <w:szCs w:val="20"/>
              </w:rPr>
              <w:t>Å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u w:val="single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Subunits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/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AU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509" w:type="pct"/>
          </w:tcPr>
          <w:p w:rsidR="00F87633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u w:val="single"/>
              </w:rPr>
            </w:pP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after="120" w:line="240" w:lineRule="auto"/>
              <w:rPr>
                <w:rFonts w:eastAsia="Calibri" w:cs="Arial"/>
                <w:b/>
                <w:bCs/>
                <w:sz w:val="20"/>
                <w:szCs w:val="20"/>
                <w:u w:val="single"/>
              </w:rPr>
            </w:pPr>
            <w:r w:rsidRPr="00E15187"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E15187"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>collection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E15187">
              <w:rPr>
                <w:rFonts w:eastAsia="Calibri" w:cs="Arial"/>
                <w:sz w:val="20"/>
                <w:szCs w:val="20"/>
              </w:rPr>
              <w:t xml:space="preserve">Beam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ID-30</w:t>
            </w:r>
            <w:r w:rsidR="00533870">
              <w:rPr>
                <w:rFonts w:eastAsia="Calibri" w:cs="Arial"/>
                <w:sz w:val="20"/>
                <w:szCs w:val="20"/>
              </w:rPr>
              <w:t>, ESRF</w:t>
            </w: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ID-30</w:t>
            </w:r>
            <w:r w:rsidR="00533870">
              <w:rPr>
                <w:rFonts w:eastAsia="Calibri" w:cs="Arial"/>
                <w:sz w:val="20"/>
                <w:szCs w:val="20"/>
              </w:rPr>
              <w:t>, ESRF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Wavelength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(Å)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0.976</w:t>
            </w: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0.976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E15187">
              <w:rPr>
                <w:rFonts w:eastAsia="Calibri" w:cs="Arial"/>
                <w:sz w:val="20"/>
                <w:szCs w:val="20"/>
              </w:rPr>
              <w:t xml:space="preserve">Resolution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range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(Å)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50 – 1.55 (1.65 – 1.55)</w:t>
            </w: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50 – 2.5 (2.6 – 2.5)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No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.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observed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reflections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162247</w:t>
            </w:r>
          </w:p>
        </w:tc>
        <w:tc>
          <w:tcPr>
            <w:tcW w:w="1509" w:type="pct"/>
          </w:tcPr>
          <w:p w:rsidR="00F87633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115993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No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.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unique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reflections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26220</w:t>
            </w:r>
          </w:p>
        </w:tc>
        <w:tc>
          <w:tcPr>
            <w:tcW w:w="1509" w:type="pct"/>
          </w:tcPr>
          <w:p w:rsidR="00F87633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13924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Completeness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(%)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99.7 (99.8)</w:t>
            </w:r>
          </w:p>
        </w:tc>
        <w:tc>
          <w:tcPr>
            <w:tcW w:w="1509" w:type="pct"/>
          </w:tcPr>
          <w:p w:rsidR="00F87633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99.4 (100)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R</w:t>
            </w:r>
            <w:r w:rsidRPr="00E15187">
              <w:rPr>
                <w:rFonts w:eastAsia="Calibri" w:cs="Arial"/>
                <w:sz w:val="20"/>
                <w:szCs w:val="20"/>
                <w:vertAlign w:val="subscript"/>
              </w:rPr>
              <w:t>merge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(%)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b, d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4.3 (58.7)</w:t>
            </w:r>
          </w:p>
        </w:tc>
        <w:tc>
          <w:tcPr>
            <w:tcW w:w="1509" w:type="pct"/>
          </w:tcPr>
          <w:p w:rsidR="00F87633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5.5 (49.6)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E15187">
              <w:rPr>
                <w:rFonts w:eastAsia="Calibri" w:cs="Arial"/>
                <w:sz w:val="20"/>
                <w:szCs w:val="20"/>
              </w:rPr>
              <w:t>I/</w:t>
            </w:r>
            <w:r>
              <w:rPr>
                <w:rFonts w:eastAsia="Calibri" w:cs="Arial"/>
                <w:sz w:val="20"/>
                <w:szCs w:val="20"/>
              </w:rPr>
              <w:t>σ</w:t>
            </w:r>
            <w:r w:rsidRPr="00E15187">
              <w:rPr>
                <w:rFonts w:eastAsia="Calibri" w:cs="Arial"/>
                <w:sz w:val="20"/>
                <w:szCs w:val="20"/>
              </w:rPr>
              <w:t xml:space="preserve"> (I)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20.9 (3.2)</w:t>
            </w: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20.6 (4.2)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>Refinement</w:t>
            </w:r>
            <w:proofErr w:type="spellEnd"/>
            <w:r w:rsidRPr="00E15187"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 xml:space="preserve"> (REFMAC5</w:t>
            </w:r>
            <w:r w:rsidRPr="00E15187">
              <w:rPr>
                <w:rFonts w:eastAsia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E15187">
              <w:rPr>
                <w:rFonts w:eastAsia="Calibri" w:cs="Arial"/>
                <w:sz w:val="20"/>
                <w:szCs w:val="20"/>
              </w:rPr>
              <w:t xml:space="preserve">Resolution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range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(Å)</w:t>
            </w:r>
          </w:p>
        </w:tc>
        <w:tc>
          <w:tcPr>
            <w:tcW w:w="1507" w:type="pct"/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15 – 1.55</w:t>
            </w:r>
          </w:p>
        </w:tc>
        <w:tc>
          <w:tcPr>
            <w:tcW w:w="1509" w:type="pct"/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15 – 2.5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No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. refl.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working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set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24867</w:t>
            </w:r>
          </w:p>
        </w:tc>
        <w:tc>
          <w:tcPr>
            <w:tcW w:w="1509" w:type="pct"/>
          </w:tcPr>
          <w:p w:rsidR="00F87633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13148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No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. refl.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test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set</w:t>
            </w:r>
            <w:proofErr w:type="spellEnd"/>
          </w:p>
        </w:tc>
        <w:tc>
          <w:tcPr>
            <w:tcW w:w="1507" w:type="pct"/>
          </w:tcPr>
          <w:p w:rsidR="00F87633" w:rsidRPr="00E15187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1309</w:t>
            </w:r>
          </w:p>
        </w:tc>
        <w:tc>
          <w:tcPr>
            <w:tcW w:w="1509" w:type="pct"/>
          </w:tcPr>
          <w:p w:rsidR="00F87633" w:rsidRDefault="00F87633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692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No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>. non hydrogen</w:t>
            </w:r>
          </w:p>
        </w:tc>
        <w:tc>
          <w:tcPr>
            <w:tcW w:w="1507" w:type="pct"/>
          </w:tcPr>
          <w:p w:rsidR="00F87633" w:rsidRPr="00E15187" w:rsidRDefault="008E0DA0" w:rsidP="008E0DA0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1025</w:t>
            </w:r>
          </w:p>
        </w:tc>
        <w:tc>
          <w:tcPr>
            <w:tcW w:w="1509" w:type="pct"/>
          </w:tcPr>
          <w:p w:rsidR="00F87633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1653</w:t>
            </w:r>
          </w:p>
        </w:tc>
      </w:tr>
      <w:tr w:rsidR="00F87633" w:rsidRPr="0069198E" w:rsidTr="008E0DA0">
        <w:tc>
          <w:tcPr>
            <w:tcW w:w="1984" w:type="pct"/>
          </w:tcPr>
          <w:p w:rsidR="00F87633" w:rsidRPr="0069198E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69198E">
              <w:rPr>
                <w:rFonts w:eastAsia="Calibri" w:cs="Arial"/>
                <w:sz w:val="20"/>
                <w:szCs w:val="20"/>
                <w:lang w:val="en-US"/>
              </w:rPr>
              <w:t>Solvent</w:t>
            </w:r>
            <w:r w:rsidR="008E0DA0">
              <w:rPr>
                <w:rFonts w:eastAsia="Calibri" w:cs="Arial"/>
                <w:sz w:val="20"/>
                <w:szCs w:val="20"/>
                <w:lang w:val="en-US"/>
              </w:rPr>
              <w:t xml:space="preserve"> (H</w:t>
            </w:r>
            <w:r w:rsidR="008E0DA0" w:rsidRPr="008E0DA0">
              <w:rPr>
                <w:rFonts w:eastAsia="Calibri" w:cs="Arial"/>
                <w:sz w:val="20"/>
                <w:szCs w:val="20"/>
                <w:vertAlign w:val="subscript"/>
                <w:lang w:val="en-US"/>
              </w:rPr>
              <w:t>2</w:t>
            </w:r>
            <w:r w:rsidR="008E0DA0">
              <w:rPr>
                <w:rFonts w:eastAsia="Calibri" w:cs="Arial"/>
                <w:sz w:val="20"/>
                <w:szCs w:val="20"/>
                <w:lang w:val="en-US"/>
              </w:rPr>
              <w:t>O, ions, PEG)</w:t>
            </w:r>
          </w:p>
        </w:tc>
        <w:tc>
          <w:tcPr>
            <w:tcW w:w="1507" w:type="pct"/>
          </w:tcPr>
          <w:p w:rsidR="00F87633" w:rsidRPr="0069198E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178</w:t>
            </w:r>
          </w:p>
        </w:tc>
        <w:tc>
          <w:tcPr>
            <w:tcW w:w="1509" w:type="pct"/>
          </w:tcPr>
          <w:p w:rsidR="00F87633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39</w:t>
            </w:r>
          </w:p>
        </w:tc>
      </w:tr>
      <w:tr w:rsidR="00F87633" w:rsidRPr="0069198E" w:rsidTr="008E0DA0">
        <w:tc>
          <w:tcPr>
            <w:tcW w:w="1984" w:type="pct"/>
          </w:tcPr>
          <w:p w:rsidR="00F87633" w:rsidRPr="0069198E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69198E">
              <w:rPr>
                <w:rFonts w:eastAsia="Calibri" w:cs="Arial"/>
                <w:sz w:val="20"/>
                <w:szCs w:val="20"/>
                <w:lang w:val="en-US"/>
              </w:rPr>
              <w:t>R</w:t>
            </w:r>
            <w:r w:rsidRPr="0069198E">
              <w:rPr>
                <w:rFonts w:eastAsia="Calibri" w:cs="Arial"/>
                <w:sz w:val="20"/>
                <w:szCs w:val="20"/>
                <w:vertAlign w:val="subscript"/>
                <w:lang w:val="en-US"/>
              </w:rPr>
              <w:t>work</w:t>
            </w:r>
            <w:proofErr w:type="spellEnd"/>
            <w:r w:rsidRPr="0069198E">
              <w:rPr>
                <w:rFonts w:eastAsia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69198E">
              <w:rPr>
                <w:rFonts w:eastAsia="Calibri" w:cs="Arial"/>
                <w:sz w:val="20"/>
                <w:szCs w:val="20"/>
                <w:lang w:val="en-US"/>
              </w:rPr>
              <w:t>R</w:t>
            </w:r>
            <w:r w:rsidRPr="0069198E">
              <w:rPr>
                <w:rFonts w:eastAsia="Calibri" w:cs="Arial"/>
                <w:sz w:val="20"/>
                <w:szCs w:val="20"/>
                <w:vertAlign w:val="subscript"/>
                <w:lang w:val="en-US"/>
              </w:rPr>
              <w:t>free</w:t>
            </w:r>
            <w:proofErr w:type="spellEnd"/>
            <w:r w:rsidRPr="0069198E">
              <w:rPr>
                <w:rFonts w:eastAsia="Calibri" w:cs="Arial"/>
                <w:sz w:val="20"/>
                <w:szCs w:val="20"/>
                <w:lang w:val="en-US"/>
              </w:rPr>
              <w:t xml:space="preserve"> (%)</w:t>
            </w:r>
            <w:r w:rsidRPr="0069198E">
              <w:rPr>
                <w:rFonts w:eastAsia="Calibri" w:cs="Arial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507" w:type="pct"/>
          </w:tcPr>
          <w:p w:rsidR="00F87633" w:rsidRPr="0069198E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14.2 / 16.5</w:t>
            </w:r>
          </w:p>
        </w:tc>
        <w:tc>
          <w:tcPr>
            <w:tcW w:w="1509" w:type="pct"/>
          </w:tcPr>
          <w:p w:rsidR="00F87633" w:rsidRPr="0069198E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16.2 / 22.7</w:t>
            </w:r>
          </w:p>
        </w:tc>
      </w:tr>
      <w:tr w:rsidR="00F87633" w:rsidRPr="00F87633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  <w:lang w:val="en-US"/>
              </w:rPr>
              <w:t>r.m.s.d</w:t>
            </w:r>
            <w:proofErr w:type="spellEnd"/>
            <w:r w:rsidRPr="00E15187">
              <w:rPr>
                <w:rFonts w:eastAsia="Calibri" w:cs="Arial"/>
                <w:sz w:val="20"/>
                <w:szCs w:val="20"/>
                <w:lang w:val="en-US"/>
              </w:rPr>
              <w:t>. bond (Å) / (°)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1507" w:type="pct"/>
          </w:tcPr>
          <w:p w:rsidR="00F87633" w:rsidRPr="0069198E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0.007 / 1.3</w:t>
            </w:r>
          </w:p>
        </w:tc>
        <w:tc>
          <w:tcPr>
            <w:tcW w:w="1509" w:type="pct"/>
          </w:tcPr>
          <w:p w:rsidR="00F87633" w:rsidRPr="0069198E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0.003 / 1.2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69198E">
              <w:rPr>
                <w:rFonts w:eastAsia="Calibri" w:cs="Arial"/>
                <w:sz w:val="20"/>
                <w:szCs w:val="20"/>
                <w:lang w:val="en-US"/>
              </w:rPr>
              <w:t>Average B-factor (</w:t>
            </w:r>
            <w:r w:rsidRPr="00E15187">
              <w:rPr>
                <w:rFonts w:eastAsia="Calibri" w:cs="Arial"/>
                <w:sz w:val="20"/>
                <w:szCs w:val="20"/>
              </w:rPr>
              <w:t>Å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2</w:t>
            </w:r>
            <w:r w:rsidRPr="00E15187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1507" w:type="pct"/>
          </w:tcPr>
          <w:p w:rsidR="00F87633" w:rsidRPr="00E15187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25.4</w:t>
            </w:r>
          </w:p>
        </w:tc>
        <w:tc>
          <w:tcPr>
            <w:tcW w:w="1509" w:type="pct"/>
          </w:tcPr>
          <w:p w:rsidR="00F87633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83.6</w:t>
            </w:r>
          </w:p>
        </w:tc>
      </w:tr>
      <w:tr w:rsidR="00F87633" w:rsidRPr="00E15187" w:rsidTr="008E0DA0">
        <w:tc>
          <w:tcPr>
            <w:tcW w:w="1984" w:type="pct"/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Ramachandran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Plot (%)</w:t>
            </w:r>
            <w:r w:rsidRPr="00E15187">
              <w:rPr>
                <w:rFonts w:eastAsia="Calibri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07" w:type="pct"/>
          </w:tcPr>
          <w:p w:rsidR="00F87633" w:rsidRPr="00E15187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95.4 / 4.6 / 0</w:t>
            </w:r>
          </w:p>
        </w:tc>
        <w:tc>
          <w:tcPr>
            <w:tcW w:w="1509" w:type="pct"/>
          </w:tcPr>
          <w:p w:rsidR="00F87633" w:rsidRPr="00E15187" w:rsidRDefault="008E0DA0" w:rsidP="00F87633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95.3 / 4.7 / 0</w:t>
            </w:r>
          </w:p>
        </w:tc>
      </w:tr>
      <w:tr w:rsidR="00F87633" w:rsidRPr="00E15187" w:rsidTr="008E0DA0"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87633" w:rsidRPr="00E15187" w:rsidTr="008E0DA0"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33" w:rsidRPr="00E15187" w:rsidRDefault="00F87633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E15187">
              <w:rPr>
                <w:rFonts w:eastAsia="Calibri" w:cs="Arial"/>
                <w:sz w:val="20"/>
                <w:szCs w:val="20"/>
              </w:rPr>
              <w:t xml:space="preserve">PDB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accession</w:t>
            </w:r>
            <w:proofErr w:type="spellEnd"/>
            <w:r w:rsidRPr="00E1518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E15187">
              <w:rPr>
                <w:rFonts w:eastAsia="Calibri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33" w:rsidRPr="00E15187" w:rsidRDefault="00F87633" w:rsidP="008E0DA0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E15187">
              <w:rPr>
                <w:rFonts w:eastAsia="Calibri" w:cs="Arial"/>
                <w:sz w:val="20"/>
                <w:szCs w:val="20"/>
              </w:rPr>
              <w:t>6</w:t>
            </w:r>
            <w:r w:rsidR="008E0DA0">
              <w:rPr>
                <w:rFonts w:eastAsia="Calibri" w:cs="Arial"/>
                <w:sz w:val="20"/>
                <w:szCs w:val="20"/>
              </w:rPr>
              <w:t>SM1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33" w:rsidRPr="00E15187" w:rsidRDefault="008E0DA0" w:rsidP="00F87633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6SM2</w:t>
            </w:r>
          </w:p>
        </w:tc>
      </w:tr>
    </w:tbl>
    <w:p w:rsidR="004207D1" w:rsidRPr="00F87633" w:rsidRDefault="00533870" w:rsidP="00F87633">
      <w:pPr>
        <w:tabs>
          <w:tab w:val="left" w:pos="284"/>
        </w:tabs>
        <w:spacing w:line="240" w:lineRule="auto"/>
        <w:ind w:left="284" w:right="-290" w:hanging="284"/>
        <w:rPr>
          <w:rFonts w:eastAsia="MS Mincho" w:cs="Arial"/>
          <w:sz w:val="16"/>
          <w:szCs w:val="16"/>
          <w:lang w:eastAsia="ja-JP"/>
        </w:rPr>
      </w:pPr>
      <w:r>
        <w:rPr>
          <w:rFonts w:eastAsia="MS Mincho" w:cs="Arial"/>
          <w:sz w:val="16"/>
          <w:szCs w:val="16"/>
          <w:vertAlign w:val="superscript"/>
          <w:lang w:eastAsia="ja-JP"/>
        </w:rPr>
        <w:t>[a</w:t>
      </w:r>
      <w:r w:rsidR="004207D1" w:rsidRPr="00F87633">
        <w:rPr>
          <w:rFonts w:eastAsia="MS Mincho" w:cs="Arial"/>
          <w:sz w:val="16"/>
          <w:szCs w:val="16"/>
          <w:vertAlign w:val="superscript"/>
          <w:lang w:eastAsia="ja-JP"/>
        </w:rPr>
        <w:t>]</w:t>
      </w:r>
      <w:r w:rsidR="004207D1" w:rsidRPr="00F87633">
        <w:rPr>
          <w:rFonts w:eastAsia="MS Mincho" w:cs="Arial"/>
          <w:sz w:val="16"/>
          <w:szCs w:val="16"/>
          <w:lang w:eastAsia="ja-JP"/>
        </w:rPr>
        <w:tab/>
      </w:r>
      <w:proofErr w:type="spellStart"/>
      <w:r w:rsidR="004207D1" w:rsidRPr="00F87633">
        <w:rPr>
          <w:rFonts w:eastAsia="MS Mincho" w:cs="Arial"/>
          <w:sz w:val="16"/>
          <w:szCs w:val="16"/>
          <w:lang w:eastAsia="ja-JP"/>
        </w:rPr>
        <w:t>Asymmetric</w:t>
      </w:r>
      <w:proofErr w:type="spellEnd"/>
      <w:r w:rsidR="004207D1" w:rsidRPr="00F87633">
        <w:rPr>
          <w:rFonts w:eastAsia="MS Mincho" w:cs="Arial"/>
          <w:sz w:val="16"/>
          <w:szCs w:val="16"/>
          <w:lang w:eastAsia="ja-JP"/>
        </w:rPr>
        <w:t xml:space="preserve"> </w:t>
      </w:r>
      <w:proofErr w:type="spellStart"/>
      <w:r w:rsidR="004207D1" w:rsidRPr="00F87633">
        <w:rPr>
          <w:rFonts w:eastAsia="MS Mincho" w:cs="Arial"/>
          <w:sz w:val="16"/>
          <w:szCs w:val="16"/>
          <w:lang w:eastAsia="ja-JP"/>
        </w:rPr>
        <w:t>unit</w:t>
      </w:r>
      <w:proofErr w:type="spellEnd"/>
    </w:p>
    <w:p w:rsidR="004207D1" w:rsidRPr="00F87633" w:rsidRDefault="004207D1" w:rsidP="00F87633">
      <w:pPr>
        <w:tabs>
          <w:tab w:val="left" w:pos="284"/>
        </w:tabs>
        <w:spacing w:line="240" w:lineRule="auto"/>
        <w:ind w:left="284" w:right="-290" w:hanging="284"/>
        <w:rPr>
          <w:rFonts w:eastAsia="MS Mincho" w:cs="Arial"/>
          <w:sz w:val="16"/>
          <w:szCs w:val="16"/>
          <w:lang w:val="en-US" w:eastAsia="ja-JP"/>
        </w:rPr>
      </w:pP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[b]</w:t>
      </w:r>
      <w:r w:rsidRPr="00F87633">
        <w:rPr>
          <w:rFonts w:eastAsia="MS Mincho" w:cs="Arial"/>
          <w:sz w:val="16"/>
          <w:szCs w:val="16"/>
          <w:lang w:val="en-US" w:eastAsia="ja-JP"/>
        </w:rPr>
        <w:tab/>
        <w:t xml:space="preserve">The values in parentheses for resolution range, completeness, 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R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merge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and I/</w:t>
      </w:r>
      <w:r w:rsidRPr="00F87633">
        <w:rPr>
          <w:rFonts w:eastAsia="MS Mincho" w:cs="Arial"/>
          <w:sz w:val="16"/>
          <w:szCs w:val="16"/>
          <w:lang w:eastAsia="ja-JP"/>
        </w:rPr>
        <w:t>σ</w:t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 (I) correspond to the highest resolution shell</w:t>
      </w:r>
    </w:p>
    <w:p w:rsidR="004207D1" w:rsidRPr="00F87633" w:rsidRDefault="004207D1" w:rsidP="00F87633">
      <w:pPr>
        <w:tabs>
          <w:tab w:val="left" w:pos="284"/>
        </w:tabs>
        <w:spacing w:line="240" w:lineRule="auto"/>
        <w:ind w:left="284" w:right="-290" w:hanging="284"/>
        <w:rPr>
          <w:rFonts w:eastAsia="MS Mincho" w:cs="Arial"/>
          <w:sz w:val="16"/>
          <w:szCs w:val="16"/>
          <w:lang w:val="en-US" w:eastAsia="ja-JP"/>
        </w:rPr>
      </w:pP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[c]</w:t>
      </w:r>
      <w:r w:rsidRPr="00F87633">
        <w:rPr>
          <w:rFonts w:eastAsia="MS Mincho" w:cs="Arial"/>
          <w:sz w:val="16"/>
          <w:szCs w:val="16"/>
          <w:lang w:val="en-US" w:eastAsia="ja-JP"/>
        </w:rPr>
        <w:tab/>
        <w:t xml:space="preserve">Data reduction was carried out with XDS and from a single crystal. </w:t>
      </w:r>
    </w:p>
    <w:p w:rsidR="004207D1" w:rsidRPr="00F87633" w:rsidRDefault="004207D1" w:rsidP="00F87633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290" w:hanging="284"/>
        <w:rPr>
          <w:rFonts w:eastAsia="MS Mincho" w:cs="Arial"/>
          <w:sz w:val="16"/>
          <w:szCs w:val="16"/>
          <w:lang w:val="en-US" w:eastAsia="ja-JP"/>
        </w:rPr>
      </w:pP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[d]</w:t>
      </w:r>
      <w:r w:rsidRPr="00F87633">
        <w:rPr>
          <w:rFonts w:eastAsia="MS Mincho" w:cs="Arial"/>
          <w:sz w:val="16"/>
          <w:szCs w:val="16"/>
          <w:lang w:val="en-US" w:eastAsia="ja-JP"/>
        </w:rPr>
        <w:tab/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R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merge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(I) = </w:t>
      </w:r>
      <w:r w:rsidRPr="00F87633">
        <w:rPr>
          <w:rFonts w:eastAsia="MS Mincho" w:cs="Arial"/>
          <w:sz w:val="16"/>
          <w:szCs w:val="16"/>
          <w:lang w:eastAsia="ja-JP"/>
        </w:rPr>
        <w:t>Σ</w:t>
      </w:r>
      <w:proofErr w:type="spellStart"/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eastAsia="ja-JP"/>
        </w:rPr>
        <w:t>Σ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j</w:t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 | I(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>)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j</w:t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 - &lt;I(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)&gt; | / </w:t>
      </w:r>
      <w:r w:rsidRPr="00F87633">
        <w:rPr>
          <w:rFonts w:eastAsia="MS Mincho" w:cs="Arial"/>
          <w:sz w:val="16"/>
          <w:szCs w:val="16"/>
          <w:lang w:eastAsia="ja-JP"/>
        </w:rPr>
        <w:t>Σ</w:t>
      </w:r>
      <w:proofErr w:type="spellStart"/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</w:t>
      </w:r>
      <w:r w:rsidRPr="00F87633">
        <w:rPr>
          <w:rFonts w:eastAsia="MS Mincho" w:cs="Arial"/>
          <w:sz w:val="16"/>
          <w:szCs w:val="16"/>
          <w:lang w:eastAsia="ja-JP"/>
        </w:rPr>
        <w:t>Σ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 xml:space="preserve">j </w:t>
      </w:r>
      <w:r w:rsidRPr="00F87633">
        <w:rPr>
          <w:rFonts w:eastAsia="MS Mincho" w:cs="Arial"/>
          <w:sz w:val="16"/>
          <w:szCs w:val="16"/>
          <w:lang w:val="en-US" w:eastAsia="ja-JP"/>
        </w:rPr>
        <w:t>I(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>)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j</w:t>
      </w:r>
      <w:r w:rsidRPr="00F87633">
        <w:rPr>
          <w:rFonts w:eastAsia="MS Mincho" w:cs="Arial"/>
          <w:sz w:val="16"/>
          <w:szCs w:val="16"/>
          <w:lang w:val="en-US" w:eastAsia="ja-JP"/>
        </w:rPr>
        <w:t>, where I(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>)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j</w:t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 is the 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j</w:t>
      </w: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th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measurement of the intensity of reflection 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and &lt;I(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>)&gt; is the average intensity</w:t>
      </w:r>
    </w:p>
    <w:p w:rsidR="004207D1" w:rsidRPr="00F87633" w:rsidRDefault="004207D1" w:rsidP="00F87633">
      <w:p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right="-290" w:hanging="284"/>
        <w:rPr>
          <w:rFonts w:eastAsia="MS Mincho" w:cs="Arial"/>
          <w:sz w:val="16"/>
          <w:szCs w:val="16"/>
          <w:lang w:val="en-US" w:eastAsia="ja-JP"/>
        </w:rPr>
      </w:pP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[e]</w:t>
      </w: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ab/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R = </w:t>
      </w:r>
      <w:r w:rsidRPr="00F87633">
        <w:rPr>
          <w:rFonts w:eastAsia="MS Mincho" w:cs="Arial"/>
          <w:sz w:val="16"/>
          <w:szCs w:val="16"/>
          <w:lang w:eastAsia="ja-JP"/>
        </w:rPr>
        <w:t>Σ</w:t>
      </w:r>
      <w:proofErr w:type="spellStart"/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| |F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obs</w:t>
      </w:r>
      <w:r w:rsidRPr="00F87633">
        <w:rPr>
          <w:rFonts w:eastAsia="MS Mincho" w:cs="Arial"/>
          <w:sz w:val="16"/>
          <w:szCs w:val="16"/>
          <w:lang w:val="en-US" w:eastAsia="ja-JP"/>
        </w:rPr>
        <w:t>| - |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F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calc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>| |/</w:t>
      </w:r>
      <w:r w:rsidRPr="00F87633">
        <w:rPr>
          <w:rFonts w:eastAsia="MS Mincho" w:cs="Arial"/>
          <w:sz w:val="16"/>
          <w:szCs w:val="16"/>
          <w:lang w:eastAsia="ja-JP"/>
        </w:rPr>
        <w:t>Σ</w:t>
      </w:r>
      <w:proofErr w:type="spellStart"/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hkl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|F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obs</w:t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|, where 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R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free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is calculated without a sigma cut off for a randomly chosen 5% of reflections, which were not used for structure refinement, and </w:t>
      </w:r>
      <w:proofErr w:type="spellStart"/>
      <w:r w:rsidRPr="00F87633">
        <w:rPr>
          <w:rFonts w:eastAsia="MS Mincho" w:cs="Arial"/>
          <w:sz w:val="16"/>
          <w:szCs w:val="16"/>
          <w:lang w:val="en-US" w:eastAsia="ja-JP"/>
        </w:rPr>
        <w:t>R</w:t>
      </w:r>
      <w:r w:rsidRPr="00F87633">
        <w:rPr>
          <w:rFonts w:eastAsia="MS Mincho" w:cs="Arial"/>
          <w:sz w:val="16"/>
          <w:szCs w:val="16"/>
          <w:vertAlign w:val="subscript"/>
          <w:lang w:val="en-US" w:eastAsia="ja-JP"/>
        </w:rPr>
        <w:t>work</w:t>
      </w:r>
      <w:proofErr w:type="spellEnd"/>
      <w:r w:rsidRPr="00F87633">
        <w:rPr>
          <w:rFonts w:eastAsia="MS Mincho" w:cs="Arial"/>
          <w:sz w:val="16"/>
          <w:szCs w:val="16"/>
          <w:lang w:val="en-US" w:eastAsia="ja-JP"/>
        </w:rPr>
        <w:t xml:space="preserve"> is calculated for the remaining reflections</w:t>
      </w:r>
    </w:p>
    <w:p w:rsidR="004207D1" w:rsidRPr="00F87633" w:rsidRDefault="004207D1" w:rsidP="00F87633">
      <w:p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right="-290" w:hanging="284"/>
        <w:rPr>
          <w:rFonts w:eastAsia="MS Mincho" w:cs="Arial"/>
          <w:sz w:val="16"/>
          <w:szCs w:val="16"/>
          <w:lang w:val="en-US" w:eastAsia="ja-JP"/>
        </w:rPr>
      </w:pP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[f]</w:t>
      </w:r>
      <w:r w:rsidRPr="00F87633">
        <w:rPr>
          <w:rFonts w:eastAsia="MS Mincho" w:cs="Arial"/>
          <w:sz w:val="16"/>
          <w:szCs w:val="16"/>
          <w:lang w:val="en-US" w:eastAsia="ja-JP"/>
        </w:rPr>
        <w:tab/>
        <w:t>Deviations from ideal bond lengths/angles</w:t>
      </w:r>
    </w:p>
    <w:p w:rsidR="00686C8D" w:rsidRPr="00F87633" w:rsidRDefault="004207D1" w:rsidP="00F87633">
      <w:pPr>
        <w:tabs>
          <w:tab w:val="left" w:pos="284"/>
        </w:tabs>
        <w:spacing w:line="240" w:lineRule="auto"/>
        <w:ind w:left="284" w:hanging="284"/>
        <w:rPr>
          <w:sz w:val="16"/>
          <w:szCs w:val="16"/>
          <w:lang w:val="en-US"/>
        </w:rPr>
      </w:pPr>
      <w:r w:rsidRPr="00F87633">
        <w:rPr>
          <w:rFonts w:eastAsia="MS Mincho" w:cs="Arial"/>
          <w:sz w:val="16"/>
          <w:szCs w:val="16"/>
          <w:vertAlign w:val="superscript"/>
          <w:lang w:val="en-US" w:eastAsia="ja-JP"/>
        </w:rPr>
        <w:t>[g]</w:t>
      </w:r>
      <w:r w:rsidRPr="00F87633">
        <w:rPr>
          <w:rFonts w:eastAsia="MS Mincho" w:cs="Arial"/>
          <w:sz w:val="16"/>
          <w:szCs w:val="16"/>
          <w:lang w:val="en-US" w:eastAsia="ja-JP"/>
        </w:rPr>
        <w:tab/>
      </w:r>
      <w:r w:rsidR="00157BA5" w:rsidRPr="00F87633">
        <w:rPr>
          <w:rFonts w:eastAsia="MS Mincho" w:cs="Arial"/>
          <w:sz w:val="16"/>
          <w:szCs w:val="16"/>
          <w:lang w:val="en-US" w:eastAsia="ja-JP"/>
        </w:rPr>
        <w:t>Percentage</w:t>
      </w:r>
      <w:r w:rsidRPr="00F87633">
        <w:rPr>
          <w:rFonts w:eastAsia="MS Mincho" w:cs="Arial"/>
          <w:sz w:val="16"/>
          <w:szCs w:val="16"/>
          <w:lang w:val="en-US" w:eastAsia="ja-JP"/>
        </w:rPr>
        <w:t xml:space="preserve"> of residues in favored / allowed / outlier region</w:t>
      </w:r>
    </w:p>
    <w:sectPr w:rsidR="00686C8D" w:rsidRPr="00F876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p5e2zz2t22vxeppe0pfsaxf0rawf909rvt&quot;&gt;Proteasome-Converted&lt;record-ids&gt;&lt;item&gt;3365&lt;/item&gt;&lt;item&gt;3494&lt;/item&gt;&lt;item&gt;3688&lt;/item&gt;&lt;item&gt;3689&lt;/item&gt;&lt;/record-ids&gt;&lt;/item&gt;&lt;/Libraries&gt;"/>
  </w:docVars>
  <w:rsids>
    <w:rsidRoot w:val="000B1DFB"/>
    <w:rsid w:val="000B1DFB"/>
    <w:rsid w:val="00157BA5"/>
    <w:rsid w:val="001E1D56"/>
    <w:rsid w:val="00245AFE"/>
    <w:rsid w:val="004207D1"/>
    <w:rsid w:val="00533870"/>
    <w:rsid w:val="00675518"/>
    <w:rsid w:val="00686C8D"/>
    <w:rsid w:val="0069198E"/>
    <w:rsid w:val="007B418F"/>
    <w:rsid w:val="008718C1"/>
    <w:rsid w:val="008E0DA0"/>
    <w:rsid w:val="00BF4564"/>
    <w:rsid w:val="00F233CA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4BAC"/>
  <w15:chartTrackingRefBased/>
  <w15:docId w15:val="{113C852F-AB46-498B-BED8-07FC47A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elge"/>
    <w:qFormat/>
    <w:rsid w:val="000B1DFB"/>
    <w:pPr>
      <w:spacing w:after="0" w:line="360" w:lineRule="auto"/>
      <w:jc w:val="both"/>
    </w:pPr>
    <w:rPr>
      <w:rFonts w:ascii="Arial" w:eastAsiaTheme="minorEastAsia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0B1DFB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B1DFB"/>
    <w:rPr>
      <w:rFonts w:ascii="Arial" w:eastAsiaTheme="minorEastAsia" w:hAnsi="Arial" w:cs="Arial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0B1DFB"/>
    <w:pPr>
      <w:spacing w:line="240" w:lineRule="auto"/>
    </w:pPr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0B1DFB"/>
    <w:rPr>
      <w:rFonts w:ascii="Arial" w:eastAsiaTheme="minorEastAsia" w:hAnsi="Arial" w:cs="Arial"/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D56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Kazman, Pamina</cp:lastModifiedBy>
  <cp:revision>2</cp:revision>
  <cp:lastPrinted>2019-08-21T08:52:00Z</cp:lastPrinted>
  <dcterms:created xsi:type="dcterms:W3CDTF">2020-01-14T08:45:00Z</dcterms:created>
  <dcterms:modified xsi:type="dcterms:W3CDTF">2020-01-14T08:45:00Z</dcterms:modified>
</cp:coreProperties>
</file>