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8333" w14:textId="77777777" w:rsidR="000147C1" w:rsidRDefault="000147C1" w:rsidP="000147C1">
      <w:pPr>
        <w:widowControl w:val="0"/>
        <w:pBdr>
          <w:top w:val="nil"/>
          <w:left w:val="nil"/>
          <w:bottom w:val="nil"/>
          <w:right w:val="nil"/>
          <w:between w:val="nil"/>
        </w:pBdr>
        <w:spacing w:line="240" w:lineRule="auto"/>
        <w:rPr>
          <w:rFonts w:eastAsia="Times New Roman"/>
          <w:sz w:val="24"/>
          <w:szCs w:val="24"/>
        </w:rPr>
      </w:pPr>
      <w:bookmarkStart w:id="0" w:name="_GoBack"/>
      <w:bookmarkEnd w:id="0"/>
      <w:r>
        <w:rPr>
          <w:rFonts w:eastAsia="Times New Roman"/>
          <w:b/>
          <w:sz w:val="24"/>
          <w:szCs w:val="24"/>
        </w:rPr>
        <w:t>Figure 1 – Source Data File 2</w:t>
      </w:r>
      <w:r w:rsidRPr="00340853">
        <w:rPr>
          <w:rFonts w:eastAsia="Times New Roman"/>
          <w:b/>
          <w:sz w:val="24"/>
          <w:szCs w:val="24"/>
        </w:rPr>
        <w:t xml:space="preserve">. </w:t>
      </w:r>
      <w:r w:rsidRPr="00F64E84">
        <w:rPr>
          <w:rFonts w:eastAsia="Times New Roman"/>
          <w:sz w:val="24"/>
          <w:szCs w:val="24"/>
        </w:rPr>
        <w:t>Modifications to proportions of unnecessary antibiotic prescriptions based on published etiology studies</w:t>
      </w:r>
      <w:r>
        <w:rPr>
          <w:rFonts w:eastAsia="Times New Roman"/>
          <w:sz w:val="24"/>
          <w:szCs w:val="24"/>
        </w:rPr>
        <w:t xml:space="preserve"> and antibiotic use in NAMCS/NHAMCS</w:t>
      </w:r>
      <w:r w:rsidRPr="00F64E84">
        <w:rPr>
          <w:rFonts w:eastAsia="Times New Roman"/>
          <w:sz w:val="24"/>
          <w:szCs w:val="24"/>
        </w:rPr>
        <w:t xml:space="preserve">. Modifications were made if the </w:t>
      </w:r>
      <w:r>
        <w:rPr>
          <w:rFonts w:eastAsia="Times New Roman"/>
          <w:sz w:val="24"/>
          <w:szCs w:val="24"/>
        </w:rPr>
        <w:t>estimated</w:t>
      </w:r>
      <w:r w:rsidRPr="00F64E84">
        <w:rPr>
          <w:rFonts w:eastAsia="Times New Roman"/>
          <w:sz w:val="24"/>
          <w:szCs w:val="24"/>
        </w:rPr>
        <w:t xml:space="preserve"> proportion of bacterial cases for a given condition exceeded the estimated proportion of appropriate prescriptions reported in Fleming-Dutra et al.</w:t>
      </w:r>
      <w:r>
        <w:rPr>
          <w:rFonts w:eastAsia="Times New Roman"/>
          <w:sz w:val="24"/>
          <w:szCs w:val="24"/>
        </w:rPr>
        <w:t xml:space="preserve"> </w:t>
      </w:r>
      <w:r>
        <w:rPr>
          <w:rFonts w:eastAsia="Times New Roman"/>
          <w:sz w:val="24"/>
          <w:szCs w:val="24"/>
        </w:rPr>
        <w:fldChar w:fldCharType="begin"/>
      </w:r>
      <w:r>
        <w:rPr>
          <w:rFonts w:eastAsia="Times New Roman"/>
          <w:sz w:val="24"/>
          <w:szCs w:val="24"/>
        </w:rPr>
        <w:instrText xml:space="preserve"> ADDIN ZOTERO_ITEM CSL_CITATION {"citationID":"o2lYUDIN","properties":{"formattedCitation":"(Fleming-Dutra et al., 2016)","plainCitation":"(Fleming-Dutra et al., 2016)","noteIndex":0},"citationItems":[{"id":685,"uris":["http://zotero.org/users/local/trVziEeF/items/H6QN53QX"],"uri":["http://zotero.org/users/local/trVziEeF/items/H6QN53QX"],"itemData":{"id":685,"type":"article-journal","abstract":"OBJECTIVE To estimate the rates of outpatient oral antibiotic prescribing by age and diagnosis, and the estimated portions of antibiotic use that may be inappropriate in adults and children in the United States. DESIGN, SETTING, AND PARTICIPANTS Using the 2010-2011 National Ambulatory Medical Care Survey and National Hospital Ambulatory Medical Care Survey, annual numbers and population-adjusted rates with 95% confidence intervals of ambulatory visits with oral antibiotic prescriptions by age, region, and diagnosis in the United States were estimated. Editorial page 1839 Supplemental content at jama.com CME Quiz at jamanetworkcme.com EXPOSURES Ambulatory care visits. MAIN OUTCOMES AND MEASURES Based on national guidelines and regional variation in prescribing, diagnosis-specific prevalence and rates of total and appropriate antibiotic prescriptions were determined. These rates were combined to calculate an estimate of the appropriate annual rate of antibiotic prescriptions per 1000 population.\nRESULTS Of the 184 032 sampled visits, 12.6% of visits (95% CI, 12.0%-13.3%) resulted in antibiotic prescriptions. Sinusitis was the single diagnosis associated with the most antibiotic prescriptions per 1000 population (56 antibiotic prescriptions [95% CI, 48-64]), followed by suppurative otitis media (47 antibiotic prescriptions [95% CI, 41-54]), and pharyngitis (43 antibiotic prescriptions [95% CI, 38-49]). Collectively, acute respiratory conditions per 1000 population led to 221 antibiotic prescriptions (95% CI, 198-245) annually, but only 111 antibiotic prescriptions were estimated to be appropriate for these conditions. Per 1000 population, among all conditions and ages combined in 2010-2011, an estimated 506 antibiotic prescriptions (95% CI, 458-554) were written annually, and, of these, 353 antibiotic prescriptions were estimated to be appropriate antibiotic prescriptions.\nCONCLUSIONS AND RELEVANCE In the United States in 2010-2011, there was an estimated annual antibiotic prescription rate per 1000 population of 506, but only an estimated 353 antibiotic prescriptions were likely appropriate, supporting the need for establishing a goal for outpatient antibiotic stewardship.","container-title":"JAMA","DOI":"10.1001/jama.2016.4151","ISSN":"0098-7484","issue":"17","language":"en","page":"1864-1873","source":"Crossref","title":"Prevalence of Inappropriate Antibiotic Prescriptions Among US Ambulatory Care Visits, 2010-2011","volume":"315","author":[{"family":"Fleming-Dutra","given":"Katherine E."},{"family":"Hersh","given":"Adam L."},{"family":"Shapiro","given":"Daniel J."},{"family":"Bartoces","given":"Monina"},{"family":"Enns","given":"Eva A."},{"family":"File","given":"Thomas M."},{"family":"Finkelstein","given":"Jonathan A."},{"family":"Gerber","given":"Jeffrey S."},{"family":"Hyun","given":"David Y."},{"family":"Linder","given":"Jeffrey A."},{"family":"Lynfield","given":"Ruth"},{"family":"Margolis","given":"David J."},{"family":"May","given":"Larissa S."},{"family":"Merenstein","given":"Daniel"},{"family":"Metlay","given":"Joshua P."},{"family":"Newland","given":"Jason G."},{"family":"Piccirillo","given":"Jay F."},{"family":"Roberts","given":"Rebecca M."},{"family":"Sanchez","given":"Guillermo V."},{"family":"Suda","given":"Katie J."},{"family":"Thomas","given":"Ann"},{"family":"Woo","given":"Teri Moser"},{"family":"Zetts","given":"Rachel M."},{"family":"Hicks","given":"Lauri A."}],"issued":{"date-parts":[["2016",5]]}}}],"schema":"https://github.com/citation-style-language/schema/raw/master/csl-citation.json"} </w:instrText>
      </w:r>
      <w:r>
        <w:rPr>
          <w:rFonts w:eastAsia="Times New Roman"/>
          <w:sz w:val="24"/>
          <w:szCs w:val="24"/>
        </w:rPr>
        <w:fldChar w:fldCharType="separate"/>
      </w:r>
      <w:r>
        <w:rPr>
          <w:rFonts w:eastAsia="Times New Roman"/>
          <w:noProof/>
          <w:sz w:val="24"/>
          <w:szCs w:val="24"/>
        </w:rPr>
        <w:t>(Fleming-Dutra et al., 2016)</w:t>
      </w:r>
      <w:r>
        <w:rPr>
          <w:rFonts w:eastAsia="Times New Roman"/>
          <w:sz w:val="24"/>
          <w:szCs w:val="24"/>
        </w:rPr>
        <w:fldChar w:fldCharType="end"/>
      </w:r>
      <w:r>
        <w:rPr>
          <w:rFonts w:eastAsia="Times New Roman"/>
          <w:sz w:val="24"/>
          <w:szCs w:val="24"/>
        </w:rPr>
        <w:t>.</w:t>
      </w:r>
    </w:p>
    <w:p w14:paraId="3221F8F8" w14:textId="77777777" w:rsidR="000147C1" w:rsidRPr="00340853" w:rsidRDefault="000147C1" w:rsidP="000147C1">
      <w:pPr>
        <w:widowControl w:val="0"/>
        <w:pBdr>
          <w:top w:val="nil"/>
          <w:left w:val="nil"/>
          <w:bottom w:val="nil"/>
          <w:right w:val="nil"/>
          <w:between w:val="nil"/>
        </w:pBdr>
        <w:spacing w:line="240" w:lineRule="auto"/>
        <w:rPr>
          <w:rFonts w:eastAsia="Times New Roman"/>
          <w:sz w:val="24"/>
          <w:szCs w:val="24"/>
        </w:rPr>
      </w:pPr>
    </w:p>
    <w:tbl>
      <w:tblPr>
        <w:tblStyle w:val="1"/>
        <w:tblW w:w="88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750"/>
        <w:gridCol w:w="1800"/>
        <w:gridCol w:w="3510"/>
      </w:tblGrid>
      <w:tr w:rsidR="000147C1" w:rsidRPr="0022101C" w14:paraId="779DE5BC" w14:textId="77777777" w:rsidTr="004A631C">
        <w:tc>
          <w:tcPr>
            <w:tcW w:w="1830" w:type="dxa"/>
            <w:shd w:val="clear" w:color="auto" w:fill="auto"/>
            <w:tcMar>
              <w:top w:w="100" w:type="dxa"/>
              <w:left w:w="100" w:type="dxa"/>
              <w:bottom w:w="100" w:type="dxa"/>
              <w:right w:w="100" w:type="dxa"/>
            </w:tcMar>
          </w:tcPr>
          <w:p w14:paraId="5C5919D6"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b/>
                <w:sz w:val="20"/>
                <w:szCs w:val="20"/>
              </w:rPr>
            </w:pPr>
            <w:r w:rsidRPr="0022101C">
              <w:rPr>
                <w:rFonts w:eastAsia="Times New Roman"/>
                <w:b/>
                <w:sz w:val="20"/>
                <w:szCs w:val="20"/>
              </w:rPr>
              <w:t>Age group</w:t>
            </w:r>
          </w:p>
        </w:tc>
        <w:tc>
          <w:tcPr>
            <w:tcW w:w="1750" w:type="dxa"/>
            <w:shd w:val="clear" w:color="auto" w:fill="auto"/>
            <w:tcMar>
              <w:top w:w="100" w:type="dxa"/>
              <w:left w:w="100" w:type="dxa"/>
              <w:bottom w:w="100" w:type="dxa"/>
              <w:right w:w="100" w:type="dxa"/>
            </w:tcMar>
          </w:tcPr>
          <w:p w14:paraId="61410C1E"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b/>
                <w:sz w:val="20"/>
                <w:szCs w:val="20"/>
              </w:rPr>
            </w:pPr>
            <w:r w:rsidRPr="0022101C">
              <w:rPr>
                <w:rFonts w:eastAsia="Times New Roman"/>
                <w:b/>
                <w:sz w:val="20"/>
                <w:szCs w:val="20"/>
              </w:rPr>
              <w:t>Fleming-Dutra estimate</w:t>
            </w:r>
          </w:p>
        </w:tc>
        <w:tc>
          <w:tcPr>
            <w:tcW w:w="1800" w:type="dxa"/>
            <w:shd w:val="clear" w:color="auto" w:fill="auto"/>
            <w:tcMar>
              <w:top w:w="100" w:type="dxa"/>
              <w:left w:w="100" w:type="dxa"/>
              <w:bottom w:w="100" w:type="dxa"/>
              <w:right w:w="100" w:type="dxa"/>
            </w:tcMar>
          </w:tcPr>
          <w:p w14:paraId="177AD1E3"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b/>
                <w:sz w:val="20"/>
                <w:szCs w:val="20"/>
              </w:rPr>
            </w:pPr>
            <w:r w:rsidRPr="0022101C">
              <w:rPr>
                <w:rFonts w:eastAsia="Times New Roman"/>
                <w:b/>
                <w:sz w:val="20"/>
                <w:szCs w:val="20"/>
              </w:rPr>
              <w:t>New estimate</w:t>
            </w:r>
          </w:p>
        </w:tc>
        <w:tc>
          <w:tcPr>
            <w:tcW w:w="3510" w:type="dxa"/>
            <w:shd w:val="clear" w:color="auto" w:fill="auto"/>
            <w:tcMar>
              <w:top w:w="100" w:type="dxa"/>
              <w:left w:w="100" w:type="dxa"/>
              <w:bottom w:w="100" w:type="dxa"/>
              <w:right w:w="100" w:type="dxa"/>
            </w:tcMar>
          </w:tcPr>
          <w:p w14:paraId="5DD2B606"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b/>
                <w:sz w:val="20"/>
                <w:szCs w:val="20"/>
              </w:rPr>
            </w:pPr>
            <w:r w:rsidRPr="0022101C">
              <w:rPr>
                <w:rFonts w:eastAsia="Times New Roman"/>
                <w:b/>
                <w:sz w:val="20"/>
                <w:szCs w:val="20"/>
              </w:rPr>
              <w:t>Explanation</w:t>
            </w:r>
          </w:p>
        </w:tc>
      </w:tr>
      <w:tr w:rsidR="000147C1" w:rsidRPr="0022101C" w14:paraId="6AC12A9C" w14:textId="77777777" w:rsidTr="004A631C">
        <w:trPr>
          <w:trHeight w:val="132"/>
        </w:trPr>
        <w:tc>
          <w:tcPr>
            <w:tcW w:w="8890" w:type="dxa"/>
            <w:gridSpan w:val="4"/>
            <w:shd w:val="clear" w:color="auto" w:fill="auto"/>
            <w:tcMar>
              <w:top w:w="100" w:type="dxa"/>
              <w:left w:w="100" w:type="dxa"/>
              <w:bottom w:w="100" w:type="dxa"/>
              <w:right w:w="100" w:type="dxa"/>
            </w:tcMar>
          </w:tcPr>
          <w:p w14:paraId="7F834A2A" w14:textId="77777777" w:rsidR="000147C1" w:rsidRPr="0022101C" w:rsidRDefault="000147C1" w:rsidP="004A631C">
            <w:pPr>
              <w:widowControl w:val="0"/>
              <w:pBdr>
                <w:top w:val="nil"/>
                <w:left w:val="nil"/>
                <w:bottom w:val="nil"/>
                <w:right w:val="nil"/>
                <w:between w:val="nil"/>
              </w:pBdr>
              <w:spacing w:line="240" w:lineRule="auto"/>
              <w:rPr>
                <w:rFonts w:eastAsia="Times New Roman"/>
                <w:b/>
                <w:i/>
                <w:sz w:val="20"/>
                <w:szCs w:val="20"/>
              </w:rPr>
            </w:pPr>
            <w:r w:rsidRPr="0022101C">
              <w:rPr>
                <w:rFonts w:eastAsia="Times New Roman"/>
                <w:b/>
                <w:i/>
                <w:sz w:val="20"/>
                <w:szCs w:val="20"/>
              </w:rPr>
              <w:t>Pharyngitis</w:t>
            </w:r>
          </w:p>
        </w:tc>
      </w:tr>
      <w:tr w:rsidR="000147C1" w:rsidRPr="0022101C" w14:paraId="333C9C2C" w14:textId="77777777" w:rsidTr="004A631C">
        <w:trPr>
          <w:trHeight w:val="400"/>
        </w:trPr>
        <w:tc>
          <w:tcPr>
            <w:tcW w:w="1830" w:type="dxa"/>
            <w:shd w:val="clear" w:color="auto" w:fill="auto"/>
            <w:tcMar>
              <w:top w:w="100" w:type="dxa"/>
              <w:left w:w="100" w:type="dxa"/>
              <w:bottom w:w="100" w:type="dxa"/>
              <w:right w:w="100" w:type="dxa"/>
            </w:tcMar>
          </w:tcPr>
          <w:p w14:paraId="0F8C9E88"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sz w:val="20"/>
                <w:szCs w:val="20"/>
              </w:rPr>
            </w:pPr>
            <w:r w:rsidRPr="0022101C">
              <w:rPr>
                <w:rFonts w:eastAsia="Times New Roman"/>
                <w:sz w:val="20"/>
                <w:szCs w:val="20"/>
              </w:rPr>
              <w:t>0-19 years old</w:t>
            </w:r>
          </w:p>
        </w:tc>
        <w:tc>
          <w:tcPr>
            <w:tcW w:w="1750" w:type="dxa"/>
            <w:shd w:val="clear" w:color="auto" w:fill="auto"/>
            <w:tcMar>
              <w:top w:w="100" w:type="dxa"/>
              <w:left w:w="100" w:type="dxa"/>
              <w:bottom w:w="100" w:type="dxa"/>
              <w:right w:w="100" w:type="dxa"/>
            </w:tcMar>
          </w:tcPr>
          <w:p w14:paraId="20AA848D"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34%</w:t>
            </w:r>
          </w:p>
        </w:tc>
        <w:tc>
          <w:tcPr>
            <w:tcW w:w="1800" w:type="dxa"/>
            <w:shd w:val="clear" w:color="auto" w:fill="auto"/>
            <w:tcMar>
              <w:top w:w="100" w:type="dxa"/>
              <w:left w:w="100" w:type="dxa"/>
              <w:bottom w:w="100" w:type="dxa"/>
              <w:right w:w="100" w:type="dxa"/>
            </w:tcMar>
          </w:tcPr>
          <w:p w14:paraId="48ABD117"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 xml:space="preserve">Pharyngitis: </w:t>
            </w:r>
            <w:r>
              <w:rPr>
                <w:rFonts w:eastAsia="Times New Roman"/>
                <w:sz w:val="20"/>
                <w:szCs w:val="20"/>
              </w:rPr>
              <w:t>47</w:t>
            </w:r>
            <w:r w:rsidRPr="0022101C">
              <w:rPr>
                <w:rFonts w:eastAsia="Times New Roman"/>
                <w:sz w:val="20"/>
                <w:szCs w:val="20"/>
              </w:rPr>
              <w:t xml:space="preserve">%; </w:t>
            </w:r>
            <w:r w:rsidRPr="0022101C">
              <w:rPr>
                <w:rFonts w:eastAsia="Times New Roman"/>
                <w:sz w:val="20"/>
                <w:szCs w:val="20"/>
              </w:rPr>
              <w:br/>
              <w:t>Strep throat: 0%</w:t>
            </w:r>
          </w:p>
        </w:tc>
        <w:tc>
          <w:tcPr>
            <w:tcW w:w="3510" w:type="dxa"/>
            <w:vMerge w:val="restart"/>
          </w:tcPr>
          <w:p w14:paraId="02813E38" w14:textId="77777777" w:rsidR="000147C1" w:rsidRPr="0022101C" w:rsidRDefault="000147C1" w:rsidP="004A631C">
            <w:pPr>
              <w:widowControl w:val="0"/>
              <w:spacing w:line="240" w:lineRule="auto"/>
              <w:rPr>
                <w:rFonts w:eastAsia="Times New Roman"/>
                <w:sz w:val="20"/>
                <w:szCs w:val="20"/>
              </w:rPr>
            </w:pPr>
            <w:r w:rsidRPr="0022101C">
              <w:rPr>
                <w:rFonts w:eastAsia="Times New Roman"/>
                <w:sz w:val="20"/>
                <w:szCs w:val="20"/>
              </w:rPr>
              <w:t>Assuming that all strep-associated use of our antibiotics of interest (based on NAMCS/NHAMCS) was necessary, we estimated the proportion of non-strep pharyngitis antibiotic use that would have to be eliminated to maintain the overall estimate reported by Fleming-Dutra et al.</w:t>
            </w:r>
            <w:r>
              <w:rPr>
                <w:rFonts w:eastAsia="Times New Roman"/>
                <w:sz w:val="20"/>
                <w:szCs w:val="20"/>
              </w:rPr>
              <w:t xml:space="preserve"> </w:t>
            </w:r>
            <w:r>
              <w:rPr>
                <w:rFonts w:eastAsia="Times New Roman"/>
                <w:sz w:val="20"/>
                <w:szCs w:val="20"/>
              </w:rPr>
              <w:fldChar w:fldCharType="begin"/>
            </w:r>
            <w:r>
              <w:rPr>
                <w:rFonts w:eastAsia="Times New Roman"/>
                <w:sz w:val="20"/>
                <w:szCs w:val="20"/>
              </w:rPr>
              <w:instrText xml:space="preserve"> ADDIN ZOTERO_ITEM CSL_CITATION {"citationID":"cEljcD4S","properties":{"formattedCitation":"(Fleming-Dutra et al., 2016)","plainCitation":"(Fleming-Dutra et al., 2016)","noteIndex":0},"citationItems":[{"id":685,"uris":["http://zotero.org/users/local/trVziEeF/items/H6QN53QX"],"uri":["http://zotero.org/users/local/trVziEeF/items/H6QN53QX"],"itemData":{"id":685,"type":"article-journal","abstract":"OBJECTIVE To estimate the rates of outpatient oral antibiotic prescribing by age and diagnosis, and the estimated portions of antibiotic use that may be inappropriate in adults and children in the United States. DESIGN, SETTING, AND PARTICIPANTS Using the 2010-2011 National Ambulatory Medical Care Survey and National Hospital Ambulatory Medical Care Survey, annual numbers and population-adjusted rates with 95% confidence intervals of ambulatory visits with oral antibiotic prescriptions by age, region, and diagnosis in the United States were estimated. Editorial page 1839 Supplemental content at jama.com CME Quiz at jamanetworkcme.com EXPOSURES Ambulatory care visits. MAIN OUTCOMES AND MEASURES Based on national guidelines and regional variation in prescribing, diagnosis-specific prevalence and rates of total and appropriate antibiotic prescriptions were determined. These rates were combined to calculate an estimate of the appropriate annual rate of antibiotic prescriptions per 1000 population.\nRESULTS Of the 184 032 sampled visits, 12.6% of visits (95% CI, 12.0%-13.3%) resulted in antibiotic prescriptions. Sinusitis was the single diagnosis associated with the most antibiotic prescriptions per 1000 population (56 antibiotic prescriptions [95% CI, 48-64]), followed by suppurative otitis media (47 antibiotic prescriptions [95% CI, 41-54]), and pharyngitis (43 antibiotic prescriptions [95% CI, 38-49]). Collectively, acute respiratory conditions per 1000 population led to 221 antibiotic prescriptions (95% CI, 198-245) annually, but only 111 antibiotic prescriptions were estimated to be appropriate for these conditions. Per 1000 population, among all conditions and ages combined in 2010-2011, an estimated 506 antibiotic prescriptions (95% CI, 458-554) were written annually, and, of these, 353 antibiotic prescriptions were estimated to be appropriate antibiotic prescriptions.\nCONCLUSIONS AND RELEVANCE In the United States in 2010-2011, there was an estimated annual antibiotic prescription rate per 1000 population of 506, but only an estimated 353 antibiotic prescriptions were likely appropriate, supporting the need for establishing a goal for outpatient antibiotic stewardship.","container-title":"JAMA","DOI":"10.1001/jama.2016.4151","ISSN":"0098-7484","issue":"17","language":"en","page":"1864-1873","source":"Crossref","title":"Prevalence of Inappropriate Antibiotic Prescriptions Among US Ambulatory Care Visits, 2010-2011","volume":"315","author":[{"family":"Fleming-Dutra","given":"Katherine E."},{"family":"Hersh","given":"Adam L."},{"family":"Shapiro","given":"Daniel J."},{"family":"Bartoces","given":"Monina"},{"family":"Enns","given":"Eva A."},{"family":"File","given":"Thomas M."},{"family":"Finkelstein","given":"Jonathan A."},{"family":"Gerber","given":"Jeffrey S."},{"family":"Hyun","given":"David Y."},{"family":"Linder","given":"Jeffrey A."},{"family":"Lynfield","given":"Ruth"},{"family":"Margolis","given":"David J."},{"family":"May","given":"Larissa S."},{"family":"Merenstein","given":"Daniel"},{"family":"Metlay","given":"Joshua P."},{"family":"Newland","given":"Jason G."},{"family":"Piccirillo","given":"Jay F."},{"family":"Roberts","given":"Rebecca M."},{"family":"Sanchez","given":"Guillermo V."},{"family":"Suda","given":"Katie J."},{"family":"Thomas","given":"Ann"},{"family":"Woo","given":"Teri Moser"},{"family":"Zetts","given":"Rachel M."},{"family":"Hicks","given":"Lauri A."}],"issued":{"date-parts":[["2016",5]]}}}],"schema":"https://github.com/citation-style-language/schema/raw/master/csl-citation.json"} </w:instrText>
            </w:r>
            <w:r>
              <w:rPr>
                <w:rFonts w:eastAsia="Times New Roman"/>
                <w:sz w:val="20"/>
                <w:szCs w:val="20"/>
              </w:rPr>
              <w:fldChar w:fldCharType="separate"/>
            </w:r>
            <w:r>
              <w:rPr>
                <w:rFonts w:eastAsia="Times New Roman"/>
                <w:noProof/>
                <w:sz w:val="20"/>
                <w:szCs w:val="20"/>
              </w:rPr>
              <w:t>(Fleming-Dutra et al., 2016)</w:t>
            </w:r>
            <w:r>
              <w:rPr>
                <w:rFonts w:eastAsia="Times New Roman"/>
                <w:sz w:val="20"/>
                <w:szCs w:val="20"/>
              </w:rPr>
              <w:fldChar w:fldCharType="end"/>
            </w:r>
            <w:r>
              <w:rPr>
                <w:rFonts w:eastAsia="Times New Roman"/>
                <w:sz w:val="20"/>
                <w:szCs w:val="20"/>
              </w:rPr>
              <w:t>.</w:t>
            </w:r>
          </w:p>
        </w:tc>
      </w:tr>
      <w:tr w:rsidR="000147C1" w:rsidRPr="0022101C" w14:paraId="22D6B6BA" w14:textId="77777777" w:rsidTr="004A631C">
        <w:trPr>
          <w:trHeight w:val="400"/>
        </w:trPr>
        <w:tc>
          <w:tcPr>
            <w:tcW w:w="1830" w:type="dxa"/>
            <w:shd w:val="clear" w:color="auto" w:fill="auto"/>
            <w:tcMar>
              <w:top w:w="100" w:type="dxa"/>
              <w:left w:w="100" w:type="dxa"/>
              <w:bottom w:w="100" w:type="dxa"/>
              <w:right w:w="100" w:type="dxa"/>
            </w:tcMar>
          </w:tcPr>
          <w:p w14:paraId="374015CF"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20-64 years old</w:t>
            </w:r>
          </w:p>
        </w:tc>
        <w:tc>
          <w:tcPr>
            <w:tcW w:w="1750" w:type="dxa"/>
            <w:shd w:val="clear" w:color="auto" w:fill="auto"/>
            <w:tcMar>
              <w:top w:w="100" w:type="dxa"/>
              <w:left w:w="100" w:type="dxa"/>
              <w:bottom w:w="100" w:type="dxa"/>
              <w:right w:w="100" w:type="dxa"/>
            </w:tcMar>
          </w:tcPr>
          <w:p w14:paraId="30917E2B"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sz w:val="20"/>
                <w:szCs w:val="20"/>
              </w:rPr>
            </w:pPr>
            <w:r w:rsidRPr="0022101C">
              <w:rPr>
                <w:rFonts w:eastAsia="Times New Roman"/>
                <w:sz w:val="20"/>
                <w:szCs w:val="20"/>
              </w:rPr>
              <w:t>75%</w:t>
            </w:r>
          </w:p>
        </w:tc>
        <w:tc>
          <w:tcPr>
            <w:tcW w:w="1800" w:type="dxa"/>
            <w:shd w:val="clear" w:color="auto" w:fill="auto"/>
            <w:tcMar>
              <w:top w:w="100" w:type="dxa"/>
              <w:left w:w="100" w:type="dxa"/>
              <w:bottom w:w="100" w:type="dxa"/>
              <w:right w:w="100" w:type="dxa"/>
            </w:tcMar>
          </w:tcPr>
          <w:p w14:paraId="58A1F489" w14:textId="77777777" w:rsidR="000147C1" w:rsidRPr="0022101C" w:rsidRDefault="000147C1" w:rsidP="004A631C">
            <w:pPr>
              <w:widowControl w:val="0"/>
              <w:spacing w:line="240" w:lineRule="auto"/>
              <w:jc w:val="center"/>
              <w:rPr>
                <w:rFonts w:eastAsia="Times New Roman"/>
                <w:sz w:val="20"/>
                <w:szCs w:val="20"/>
              </w:rPr>
            </w:pPr>
            <w:r>
              <w:rPr>
                <w:rFonts w:eastAsia="Times New Roman"/>
                <w:sz w:val="20"/>
                <w:szCs w:val="20"/>
              </w:rPr>
              <w:t xml:space="preserve">Updated to 51% overall; </w:t>
            </w:r>
            <w:r w:rsidRPr="0022101C">
              <w:rPr>
                <w:rFonts w:eastAsia="Times New Roman"/>
                <w:sz w:val="20"/>
                <w:szCs w:val="20"/>
              </w:rPr>
              <w:t xml:space="preserve">Pharyngitis: </w:t>
            </w:r>
            <w:r>
              <w:rPr>
                <w:rFonts w:eastAsia="Times New Roman"/>
                <w:sz w:val="20"/>
                <w:szCs w:val="20"/>
              </w:rPr>
              <w:t>100</w:t>
            </w:r>
            <w:r w:rsidRPr="0022101C">
              <w:rPr>
                <w:rFonts w:eastAsia="Times New Roman"/>
                <w:sz w:val="20"/>
                <w:szCs w:val="20"/>
              </w:rPr>
              <w:t xml:space="preserve">%; </w:t>
            </w:r>
            <w:r w:rsidRPr="0022101C">
              <w:rPr>
                <w:rFonts w:eastAsia="Times New Roman"/>
                <w:sz w:val="20"/>
                <w:szCs w:val="20"/>
              </w:rPr>
              <w:br/>
              <w:t>Strep throat: 0%</w:t>
            </w:r>
          </w:p>
        </w:tc>
        <w:tc>
          <w:tcPr>
            <w:tcW w:w="3510" w:type="dxa"/>
            <w:vMerge/>
            <w:shd w:val="clear" w:color="auto" w:fill="auto"/>
            <w:tcMar>
              <w:top w:w="100" w:type="dxa"/>
              <w:left w:w="100" w:type="dxa"/>
              <w:bottom w:w="100" w:type="dxa"/>
              <w:right w:w="100" w:type="dxa"/>
            </w:tcMar>
          </w:tcPr>
          <w:p w14:paraId="582F1F75" w14:textId="77777777" w:rsidR="000147C1" w:rsidRPr="0022101C" w:rsidRDefault="000147C1" w:rsidP="004A631C">
            <w:pPr>
              <w:widowControl w:val="0"/>
              <w:pBdr>
                <w:top w:val="nil"/>
                <w:left w:val="nil"/>
                <w:bottom w:val="nil"/>
                <w:right w:val="nil"/>
                <w:between w:val="nil"/>
              </w:pBdr>
              <w:spacing w:line="240" w:lineRule="auto"/>
              <w:rPr>
                <w:rFonts w:eastAsia="Times New Roman"/>
                <w:sz w:val="20"/>
                <w:szCs w:val="20"/>
              </w:rPr>
            </w:pPr>
          </w:p>
        </w:tc>
      </w:tr>
      <w:tr w:rsidR="000147C1" w:rsidRPr="0022101C" w14:paraId="15FC49C5" w14:textId="77777777" w:rsidTr="004A631C">
        <w:trPr>
          <w:trHeight w:val="400"/>
        </w:trPr>
        <w:tc>
          <w:tcPr>
            <w:tcW w:w="1830" w:type="dxa"/>
            <w:shd w:val="clear" w:color="auto" w:fill="auto"/>
            <w:tcMar>
              <w:top w:w="100" w:type="dxa"/>
              <w:left w:w="100" w:type="dxa"/>
              <w:bottom w:w="100" w:type="dxa"/>
              <w:right w:w="100" w:type="dxa"/>
            </w:tcMar>
          </w:tcPr>
          <w:p w14:paraId="222CD4A4"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sz w:val="20"/>
                <w:szCs w:val="20"/>
              </w:rPr>
            </w:pPr>
            <w:r w:rsidRPr="0022101C">
              <w:rPr>
                <w:rFonts w:eastAsia="Times New Roman"/>
                <w:sz w:val="20"/>
                <w:szCs w:val="20"/>
              </w:rPr>
              <w:t>&gt;64 years old</w:t>
            </w:r>
          </w:p>
        </w:tc>
        <w:tc>
          <w:tcPr>
            <w:tcW w:w="1750" w:type="dxa"/>
            <w:shd w:val="clear" w:color="auto" w:fill="auto"/>
            <w:tcMar>
              <w:top w:w="100" w:type="dxa"/>
              <w:left w:w="100" w:type="dxa"/>
              <w:bottom w:w="100" w:type="dxa"/>
              <w:right w:w="100" w:type="dxa"/>
            </w:tcMar>
          </w:tcPr>
          <w:p w14:paraId="2CE64D9A" w14:textId="77777777" w:rsidR="000147C1" w:rsidRPr="0022101C" w:rsidRDefault="000147C1" w:rsidP="004A631C">
            <w:pPr>
              <w:widowControl w:val="0"/>
              <w:pBdr>
                <w:top w:val="nil"/>
                <w:left w:val="nil"/>
                <w:bottom w:val="nil"/>
                <w:right w:val="nil"/>
                <w:between w:val="nil"/>
              </w:pBdr>
              <w:spacing w:line="240" w:lineRule="auto"/>
              <w:jc w:val="center"/>
              <w:rPr>
                <w:rFonts w:eastAsia="Times New Roman"/>
                <w:sz w:val="20"/>
                <w:szCs w:val="20"/>
              </w:rPr>
            </w:pPr>
            <w:r w:rsidRPr="0022101C">
              <w:rPr>
                <w:rFonts w:eastAsia="Times New Roman"/>
                <w:sz w:val="20"/>
                <w:szCs w:val="20"/>
              </w:rPr>
              <w:t>NA (assume 0%)</w:t>
            </w:r>
          </w:p>
        </w:tc>
        <w:tc>
          <w:tcPr>
            <w:tcW w:w="1800" w:type="dxa"/>
            <w:shd w:val="clear" w:color="auto" w:fill="auto"/>
            <w:tcMar>
              <w:top w:w="100" w:type="dxa"/>
              <w:left w:w="100" w:type="dxa"/>
              <w:bottom w:w="100" w:type="dxa"/>
              <w:right w:w="100" w:type="dxa"/>
            </w:tcMar>
          </w:tcPr>
          <w:p w14:paraId="1A3BE55D"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NA (assume 0%)</w:t>
            </w:r>
          </w:p>
        </w:tc>
        <w:tc>
          <w:tcPr>
            <w:tcW w:w="3510" w:type="dxa"/>
            <w:shd w:val="clear" w:color="auto" w:fill="auto"/>
            <w:tcMar>
              <w:top w:w="100" w:type="dxa"/>
              <w:left w:w="100" w:type="dxa"/>
              <w:bottom w:w="100" w:type="dxa"/>
              <w:right w:w="100" w:type="dxa"/>
            </w:tcMar>
          </w:tcPr>
          <w:p w14:paraId="06DAE127" w14:textId="77777777" w:rsidR="000147C1" w:rsidRPr="0022101C" w:rsidRDefault="000147C1" w:rsidP="004A631C">
            <w:pPr>
              <w:widowControl w:val="0"/>
              <w:spacing w:line="240" w:lineRule="auto"/>
              <w:rPr>
                <w:rFonts w:eastAsia="Times New Roman"/>
                <w:sz w:val="20"/>
                <w:szCs w:val="20"/>
              </w:rPr>
            </w:pPr>
            <w:r w:rsidRPr="0022101C">
              <w:rPr>
                <w:rFonts w:eastAsia="Times New Roman"/>
                <w:sz w:val="20"/>
                <w:szCs w:val="20"/>
              </w:rPr>
              <w:t>No change.</w:t>
            </w:r>
          </w:p>
        </w:tc>
      </w:tr>
      <w:tr w:rsidR="000147C1" w:rsidRPr="0022101C" w14:paraId="3CC69BC9" w14:textId="77777777" w:rsidTr="004A631C">
        <w:trPr>
          <w:trHeight w:val="114"/>
        </w:trPr>
        <w:tc>
          <w:tcPr>
            <w:tcW w:w="8890" w:type="dxa"/>
            <w:gridSpan w:val="4"/>
            <w:shd w:val="clear" w:color="auto" w:fill="auto"/>
            <w:tcMar>
              <w:top w:w="100" w:type="dxa"/>
              <w:left w:w="100" w:type="dxa"/>
              <w:bottom w:w="100" w:type="dxa"/>
              <w:right w:w="100" w:type="dxa"/>
            </w:tcMar>
          </w:tcPr>
          <w:p w14:paraId="0AA6D1AD" w14:textId="77777777" w:rsidR="000147C1" w:rsidRPr="0022101C" w:rsidRDefault="000147C1" w:rsidP="004A631C">
            <w:pPr>
              <w:widowControl w:val="0"/>
              <w:spacing w:line="240" w:lineRule="auto"/>
              <w:rPr>
                <w:rFonts w:eastAsia="Times New Roman"/>
                <w:b/>
                <w:i/>
                <w:sz w:val="20"/>
                <w:szCs w:val="20"/>
              </w:rPr>
            </w:pPr>
            <w:r w:rsidRPr="0022101C">
              <w:rPr>
                <w:rFonts w:eastAsia="Times New Roman"/>
                <w:b/>
                <w:i/>
                <w:sz w:val="20"/>
                <w:szCs w:val="20"/>
              </w:rPr>
              <w:t>Sinusitis</w:t>
            </w:r>
          </w:p>
        </w:tc>
      </w:tr>
      <w:tr w:rsidR="000147C1" w:rsidRPr="0022101C" w14:paraId="48CE318C" w14:textId="77777777" w:rsidTr="004A631C">
        <w:trPr>
          <w:trHeight w:val="483"/>
        </w:trPr>
        <w:tc>
          <w:tcPr>
            <w:tcW w:w="1830" w:type="dxa"/>
            <w:shd w:val="clear" w:color="auto" w:fill="auto"/>
            <w:tcMar>
              <w:top w:w="100" w:type="dxa"/>
              <w:left w:w="100" w:type="dxa"/>
              <w:bottom w:w="100" w:type="dxa"/>
              <w:right w:w="100" w:type="dxa"/>
            </w:tcMar>
          </w:tcPr>
          <w:p w14:paraId="2A5341DE"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0-19 years old</w:t>
            </w:r>
          </w:p>
        </w:tc>
        <w:tc>
          <w:tcPr>
            <w:tcW w:w="1750" w:type="dxa"/>
            <w:shd w:val="clear" w:color="auto" w:fill="auto"/>
            <w:tcMar>
              <w:top w:w="100" w:type="dxa"/>
              <w:left w:w="100" w:type="dxa"/>
              <w:bottom w:w="100" w:type="dxa"/>
              <w:right w:w="100" w:type="dxa"/>
            </w:tcMar>
          </w:tcPr>
          <w:p w14:paraId="57129EF0"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9%</w:t>
            </w:r>
          </w:p>
        </w:tc>
        <w:tc>
          <w:tcPr>
            <w:tcW w:w="1800" w:type="dxa"/>
            <w:shd w:val="clear" w:color="auto" w:fill="auto"/>
            <w:tcMar>
              <w:top w:w="100" w:type="dxa"/>
              <w:left w:w="100" w:type="dxa"/>
              <w:bottom w:w="100" w:type="dxa"/>
              <w:right w:w="100" w:type="dxa"/>
            </w:tcMar>
          </w:tcPr>
          <w:p w14:paraId="00684D5C"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 xml:space="preserve">Acute: </w:t>
            </w:r>
            <w:r>
              <w:rPr>
                <w:rFonts w:eastAsia="Times New Roman"/>
                <w:sz w:val="20"/>
                <w:szCs w:val="20"/>
              </w:rPr>
              <w:t>18</w:t>
            </w:r>
            <w:r w:rsidRPr="0022101C">
              <w:rPr>
                <w:rFonts w:eastAsia="Times New Roman"/>
                <w:sz w:val="20"/>
                <w:szCs w:val="20"/>
              </w:rPr>
              <w:t>%;</w:t>
            </w:r>
          </w:p>
          <w:p w14:paraId="3C6C72AD"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Chronic:</w:t>
            </w:r>
            <w:r>
              <w:rPr>
                <w:rFonts w:eastAsia="Times New Roman"/>
                <w:sz w:val="20"/>
                <w:szCs w:val="20"/>
              </w:rPr>
              <w:t xml:space="preserve"> </w:t>
            </w:r>
            <w:r w:rsidRPr="0022101C">
              <w:rPr>
                <w:rFonts w:eastAsia="Times New Roman"/>
                <w:sz w:val="20"/>
                <w:szCs w:val="20"/>
              </w:rPr>
              <w:t>0%</w:t>
            </w:r>
          </w:p>
        </w:tc>
        <w:tc>
          <w:tcPr>
            <w:tcW w:w="3510" w:type="dxa"/>
            <w:vMerge w:val="restart"/>
          </w:tcPr>
          <w:p w14:paraId="27782FCA" w14:textId="77777777" w:rsidR="000147C1" w:rsidRPr="0022101C" w:rsidRDefault="000147C1" w:rsidP="004A631C">
            <w:pPr>
              <w:widowControl w:val="0"/>
              <w:spacing w:line="240" w:lineRule="auto"/>
              <w:rPr>
                <w:rFonts w:eastAsia="Times New Roman"/>
                <w:sz w:val="20"/>
                <w:szCs w:val="20"/>
              </w:rPr>
            </w:pPr>
            <w:r w:rsidRPr="0022101C">
              <w:rPr>
                <w:rFonts w:eastAsia="Times New Roman"/>
                <w:sz w:val="20"/>
                <w:szCs w:val="20"/>
              </w:rPr>
              <w:t>While acute sinusitis is rarely bacterial, bacteria are believed to play a much more prominent role in the etiology of chronic sinusitis</w:t>
            </w:r>
            <w:r>
              <w:rPr>
                <w:rFonts w:eastAsia="Times New Roman"/>
                <w:sz w:val="20"/>
                <w:szCs w:val="20"/>
              </w:rPr>
              <w:t xml:space="preserve"> </w:t>
            </w:r>
            <w:r>
              <w:rPr>
                <w:rFonts w:eastAsia="Times New Roman"/>
                <w:sz w:val="20"/>
                <w:szCs w:val="20"/>
              </w:rPr>
              <w:fldChar w:fldCharType="begin"/>
            </w:r>
            <w:r>
              <w:rPr>
                <w:rFonts w:eastAsia="Times New Roman"/>
                <w:sz w:val="20"/>
                <w:szCs w:val="20"/>
              </w:rPr>
              <w:instrText xml:space="preserve"> ADDIN ZOTERO_ITEM CSL_CITATION {"citationID":"9P4f7Sq6","properties":{"formattedCitation":"(Brook, 2016)","plainCitation":"(Brook, 2016)","noteIndex":0},"citationItems":[{"id":2068,"uris":["http://zotero.org/users/local/trVziEeF/items/ECFNFZT5"],"uri":["http://zotero.org/users/local/trVziEeF/items/ECFNFZT5"],"itemData":{"id":2068,"type":"article-journal","abstract":"Most sinus infections are viral and only a small percentage develop bacterial infection. Rhino-, influenza, and para-influenza viruses are the most frequent viral causes of sinusitis. The most common bacterial isolates from children and adult patients with community-acquired acute bacterial sinusitis are Streptococcus pneumoniae, Haemophilus influenzae, Moraxella catarrhalis, and Streptococcus pyogenes. Staphylococcus aureus and anaerobic organisms (Prevotella and Porphyromonas, Fusobacterium, and Peptostreptococcus spp.) are the commonest isolates in chronic rhinosinusitis (CRS). Aerobic and anaerobic beta lactamase-producing bacteria (BLPB) were recovered from over a third of these patients. Methicillin-resistant S. aureus (MRSA) accounted for over 60 % of S. aureus isolates. Pseudomonas aeruginosa and other aerobic and facultative Gram-negative rods are frequently recovered in nosocomial sinusitis, the immunocompromised host, individuals with human immunodeficiency virus infection, and in cystic fibrosis. The CRS infection evolves the formation of a biofilm that might play a significant role in the pathogenesis and persistence of CRS. The microbiology of sinusitis is influenced by previous antimicrobial therapy, vaccinations, and the presence of normal flora capable of interfering with the growth of pathogens. Recognition of the unique microbiology of CRS and their antimicrobial susceptibility is of great importance when selecting antimicrobial therapy.","container-title":"European Journal of Clinical Microbiology &amp; Infectious Diseases","DOI":"10.1007/s10096-016-2640-x","ISSN":"0934-9723, 1435-4373","issue":"7","journalAbbreviation":"Eur J Clin Microbiol Infect Dis","language":"en","page":"1059-1068","source":"DOI.org (Crossref)","title":"Microbiology of chronic rhinosinusitis","volume":"35","author":[{"family":"Brook","given":"Itzhak"}],"issued":{"date-parts":[["2016",7]]}}}],"schema":"https://github.com/citation-style-language/schema/raw/master/csl-citation.json"} </w:instrText>
            </w:r>
            <w:r>
              <w:rPr>
                <w:rFonts w:eastAsia="Times New Roman"/>
                <w:sz w:val="20"/>
                <w:szCs w:val="20"/>
              </w:rPr>
              <w:fldChar w:fldCharType="separate"/>
            </w:r>
            <w:r>
              <w:rPr>
                <w:rFonts w:eastAsia="Times New Roman"/>
                <w:noProof/>
                <w:sz w:val="20"/>
                <w:szCs w:val="20"/>
              </w:rPr>
              <w:t>(Brook, 2016)</w:t>
            </w:r>
            <w:r>
              <w:rPr>
                <w:rFonts w:eastAsia="Times New Roman"/>
                <w:sz w:val="20"/>
                <w:szCs w:val="20"/>
              </w:rPr>
              <w:fldChar w:fldCharType="end"/>
            </w:r>
            <w:r>
              <w:rPr>
                <w:rFonts w:eastAsia="Times New Roman"/>
                <w:sz w:val="20"/>
                <w:szCs w:val="20"/>
              </w:rPr>
              <w:t xml:space="preserve">. </w:t>
            </w:r>
            <w:r w:rsidRPr="0022101C">
              <w:rPr>
                <w:rFonts w:eastAsia="Times New Roman"/>
                <w:sz w:val="20"/>
                <w:szCs w:val="20"/>
              </w:rPr>
              <w:t xml:space="preserve">Thus, we </w:t>
            </w:r>
            <w:r>
              <w:rPr>
                <w:rFonts w:eastAsia="Times New Roman"/>
                <w:sz w:val="20"/>
                <w:szCs w:val="20"/>
              </w:rPr>
              <w:t xml:space="preserve">assume that antibiotic use would only be eliminated </w:t>
            </w:r>
            <w:r w:rsidRPr="0022101C">
              <w:rPr>
                <w:rFonts w:eastAsia="Times New Roman"/>
                <w:sz w:val="20"/>
                <w:szCs w:val="20"/>
              </w:rPr>
              <w:t>from acute sinusitis</w:t>
            </w:r>
            <w:r>
              <w:rPr>
                <w:rFonts w:eastAsia="Times New Roman"/>
                <w:sz w:val="20"/>
                <w:szCs w:val="20"/>
              </w:rPr>
              <w:t xml:space="preserve"> and</w:t>
            </w:r>
            <w:r w:rsidRPr="0022101C">
              <w:rPr>
                <w:rFonts w:eastAsia="Times New Roman"/>
                <w:sz w:val="20"/>
                <w:szCs w:val="20"/>
              </w:rPr>
              <w:t xml:space="preserve"> maintain the overall estimate of unnecessary use reported by Fleming-Dutra et al.</w:t>
            </w:r>
            <w:r>
              <w:rPr>
                <w:rFonts w:eastAsia="Times New Roman"/>
                <w:sz w:val="20"/>
                <w:szCs w:val="20"/>
              </w:rPr>
              <w:fldChar w:fldCharType="begin"/>
            </w:r>
            <w:r>
              <w:rPr>
                <w:rFonts w:eastAsia="Times New Roman"/>
                <w:sz w:val="20"/>
                <w:szCs w:val="20"/>
              </w:rPr>
              <w:instrText xml:space="preserve"> ADDIN ZOTERO_ITEM CSL_CITATION {"citationID":"RnBrfRM1","properties":{"formattedCitation":"(Fleming-Dutra et al., 2016)","plainCitation":"(Fleming-Dutra et al., 2016)","noteIndex":0},"citationItems":[{"id":685,"uris":["http://zotero.org/users/local/trVziEeF/items/H6QN53QX"],"uri":["http://zotero.org/users/local/trVziEeF/items/H6QN53QX"],"itemData":{"id":685,"type":"article-journal","abstract":"OBJECTIVE To estimate the rates of outpatient oral antibiotic prescribing by age and diagnosis, and the estimated portions of antibiotic use that may be inappropriate in adults and children in the United States. DESIGN, SETTING, AND PARTICIPANTS Using the 2010-2011 National Ambulatory Medical Care Survey and National Hospital Ambulatory Medical Care Survey, annual numbers and population-adjusted rates with 95% confidence intervals of ambulatory visits with oral antibiotic prescriptions by age, region, and diagnosis in the United States were estimated. Editorial page 1839 Supplemental content at jama.com CME Quiz at jamanetworkcme.com EXPOSURES Ambulatory care visits. MAIN OUTCOMES AND MEASURES Based on national guidelines and regional variation in prescribing, diagnosis-specific prevalence and rates of total and appropriate antibiotic prescriptions were determined. These rates were combined to calculate an estimate of the appropriate annual rate of antibiotic prescriptions per 1000 population.\nRESULTS Of the 184 032 sampled visits, 12.6% of visits (95% CI, 12.0%-13.3%) resulted in antibiotic prescriptions. Sinusitis was the single diagnosis associated with the most antibiotic prescriptions per 1000 population (56 antibiotic prescriptions [95% CI, 48-64]), followed by suppurative otitis media (47 antibiotic prescriptions [95% CI, 41-54]), and pharyngitis (43 antibiotic prescriptions [95% CI, 38-49]). Collectively, acute respiratory conditions per 1000 population led to 221 antibiotic prescriptions (95% CI, 198-245) annually, but only 111 antibiotic prescriptions were estimated to be appropriate for these conditions. Per 1000 population, among all conditions and ages combined in 2010-2011, an estimated 506 antibiotic prescriptions (95% CI, 458-554) were written annually, and, of these, 353 antibiotic prescriptions were estimated to be appropriate antibiotic prescriptions.\nCONCLUSIONS AND RELEVANCE In the United States in 2010-2011, there was an estimated annual antibiotic prescription rate per 1000 population of 506, but only an estimated 353 antibiotic prescriptions were likely appropriate, supporting the need for establishing a goal for outpatient antibiotic stewardship.","container-title":"JAMA","DOI":"10.1001/jama.2016.4151","ISSN":"0098-7484","issue":"17","language":"en","page":"1864-1873","source":"Crossref","title":"Prevalence of Inappropriate Antibiotic Prescriptions Among US Ambulatory Care Visits, 2010-2011","volume":"315","author":[{"family":"Fleming-Dutra","given":"Katherine E."},{"family":"Hersh","given":"Adam L."},{"family":"Shapiro","given":"Daniel J."},{"family":"Bartoces","given":"Monina"},{"family":"Enns","given":"Eva A."},{"family":"File","given":"Thomas M."},{"family":"Finkelstein","given":"Jonathan A."},{"family":"Gerber","given":"Jeffrey S."},{"family":"Hyun","given":"David Y."},{"family":"Linder","given":"Jeffrey A."},{"family":"Lynfield","given":"Ruth"},{"family":"Margolis","given":"David J."},{"family":"May","given":"Larissa S."},{"family":"Merenstein","given":"Daniel"},{"family":"Metlay","given":"Joshua P."},{"family":"Newland","given":"Jason G."},{"family":"Piccirillo","given":"Jay F."},{"family":"Roberts","given":"Rebecca M."},{"family":"Sanchez","given":"Guillermo V."},{"family":"Suda","given":"Katie J."},{"family":"Thomas","given":"Ann"},{"family":"Woo","given":"Teri Moser"},{"family":"Zetts","given":"Rachel M."},{"family":"Hicks","given":"Lauri A."}],"issued":{"date-parts":[["2016",5]]}}}],"schema":"https://github.com/citation-style-language/schema/raw/master/csl-citation.json"} </w:instrText>
            </w:r>
            <w:r>
              <w:rPr>
                <w:rFonts w:eastAsia="Times New Roman"/>
                <w:sz w:val="20"/>
                <w:szCs w:val="20"/>
              </w:rPr>
              <w:fldChar w:fldCharType="separate"/>
            </w:r>
            <w:r>
              <w:rPr>
                <w:rFonts w:eastAsia="Times New Roman"/>
                <w:noProof/>
                <w:sz w:val="20"/>
                <w:szCs w:val="20"/>
              </w:rPr>
              <w:t>(Fleming-Dutra et al., 2016)</w:t>
            </w:r>
            <w:r>
              <w:rPr>
                <w:rFonts w:eastAsia="Times New Roman"/>
                <w:sz w:val="20"/>
                <w:szCs w:val="20"/>
              </w:rPr>
              <w:fldChar w:fldCharType="end"/>
            </w:r>
            <w:r w:rsidRPr="0022101C">
              <w:rPr>
                <w:rFonts w:eastAsia="Times New Roman"/>
                <w:sz w:val="20"/>
                <w:szCs w:val="20"/>
              </w:rPr>
              <w:t xml:space="preserve"> when possible.</w:t>
            </w:r>
          </w:p>
        </w:tc>
      </w:tr>
      <w:tr w:rsidR="000147C1" w:rsidRPr="0022101C" w14:paraId="11991EFB" w14:textId="77777777" w:rsidTr="004A631C">
        <w:trPr>
          <w:trHeight w:val="915"/>
        </w:trPr>
        <w:tc>
          <w:tcPr>
            <w:tcW w:w="1830" w:type="dxa"/>
            <w:shd w:val="clear" w:color="auto" w:fill="auto"/>
            <w:tcMar>
              <w:top w:w="100" w:type="dxa"/>
              <w:left w:w="100" w:type="dxa"/>
              <w:bottom w:w="100" w:type="dxa"/>
              <w:right w:w="100" w:type="dxa"/>
            </w:tcMar>
          </w:tcPr>
          <w:p w14:paraId="294FA78B"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20-64 years old</w:t>
            </w:r>
          </w:p>
        </w:tc>
        <w:tc>
          <w:tcPr>
            <w:tcW w:w="1750" w:type="dxa"/>
            <w:shd w:val="clear" w:color="auto" w:fill="auto"/>
            <w:tcMar>
              <w:top w:w="100" w:type="dxa"/>
              <w:left w:w="100" w:type="dxa"/>
              <w:bottom w:w="100" w:type="dxa"/>
              <w:right w:w="100" w:type="dxa"/>
            </w:tcMar>
          </w:tcPr>
          <w:p w14:paraId="6FDB579C"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51%</w:t>
            </w:r>
          </w:p>
        </w:tc>
        <w:tc>
          <w:tcPr>
            <w:tcW w:w="1800" w:type="dxa"/>
            <w:shd w:val="clear" w:color="auto" w:fill="auto"/>
            <w:tcMar>
              <w:top w:w="100" w:type="dxa"/>
              <w:left w:w="100" w:type="dxa"/>
              <w:bottom w:w="100" w:type="dxa"/>
              <w:right w:w="100" w:type="dxa"/>
            </w:tcMar>
          </w:tcPr>
          <w:p w14:paraId="4CBCECE3"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Updated to 4</w:t>
            </w:r>
            <w:r>
              <w:rPr>
                <w:rFonts w:eastAsia="Times New Roman"/>
                <w:sz w:val="20"/>
                <w:szCs w:val="20"/>
              </w:rPr>
              <w:t>0</w:t>
            </w:r>
            <w:r w:rsidRPr="0022101C">
              <w:rPr>
                <w:rFonts w:eastAsia="Times New Roman"/>
                <w:sz w:val="20"/>
                <w:szCs w:val="20"/>
              </w:rPr>
              <w:t xml:space="preserve">% overall; </w:t>
            </w:r>
          </w:p>
          <w:p w14:paraId="06D8ABFE"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Acute: 100%;</w:t>
            </w:r>
          </w:p>
          <w:p w14:paraId="414AD57D"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Chronic: 0%</w:t>
            </w:r>
          </w:p>
        </w:tc>
        <w:tc>
          <w:tcPr>
            <w:tcW w:w="3510" w:type="dxa"/>
            <w:vMerge/>
            <w:shd w:val="clear" w:color="auto" w:fill="auto"/>
            <w:tcMar>
              <w:top w:w="100" w:type="dxa"/>
              <w:left w:w="100" w:type="dxa"/>
              <w:bottom w:w="100" w:type="dxa"/>
              <w:right w:w="100" w:type="dxa"/>
            </w:tcMar>
          </w:tcPr>
          <w:p w14:paraId="6EECE84F" w14:textId="77777777" w:rsidR="000147C1" w:rsidRPr="0022101C" w:rsidRDefault="000147C1" w:rsidP="004A631C">
            <w:pPr>
              <w:widowControl w:val="0"/>
              <w:spacing w:line="240" w:lineRule="auto"/>
              <w:rPr>
                <w:rFonts w:eastAsia="Times New Roman"/>
                <w:sz w:val="20"/>
                <w:szCs w:val="20"/>
              </w:rPr>
            </w:pPr>
          </w:p>
        </w:tc>
      </w:tr>
      <w:tr w:rsidR="000147C1" w:rsidRPr="0022101C" w14:paraId="69FA7CF5" w14:textId="77777777" w:rsidTr="004A631C">
        <w:trPr>
          <w:trHeight w:val="519"/>
        </w:trPr>
        <w:tc>
          <w:tcPr>
            <w:tcW w:w="1830" w:type="dxa"/>
            <w:shd w:val="clear" w:color="auto" w:fill="auto"/>
            <w:tcMar>
              <w:top w:w="100" w:type="dxa"/>
              <w:left w:w="100" w:type="dxa"/>
              <w:bottom w:w="100" w:type="dxa"/>
              <w:right w:w="100" w:type="dxa"/>
            </w:tcMar>
          </w:tcPr>
          <w:p w14:paraId="3A463576"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&gt;64 years old</w:t>
            </w:r>
          </w:p>
        </w:tc>
        <w:tc>
          <w:tcPr>
            <w:tcW w:w="1750" w:type="dxa"/>
            <w:shd w:val="clear" w:color="auto" w:fill="auto"/>
            <w:tcMar>
              <w:top w:w="100" w:type="dxa"/>
              <w:left w:w="100" w:type="dxa"/>
              <w:bottom w:w="100" w:type="dxa"/>
              <w:right w:w="100" w:type="dxa"/>
            </w:tcMar>
          </w:tcPr>
          <w:p w14:paraId="327DC523"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16%</w:t>
            </w:r>
          </w:p>
        </w:tc>
        <w:tc>
          <w:tcPr>
            <w:tcW w:w="1800" w:type="dxa"/>
            <w:shd w:val="clear" w:color="auto" w:fill="auto"/>
            <w:tcMar>
              <w:top w:w="100" w:type="dxa"/>
              <w:left w:w="100" w:type="dxa"/>
              <w:bottom w:w="100" w:type="dxa"/>
              <w:right w:w="100" w:type="dxa"/>
            </w:tcMar>
          </w:tcPr>
          <w:p w14:paraId="1E009E51"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 xml:space="preserve">Acute: </w:t>
            </w:r>
            <w:r>
              <w:rPr>
                <w:rFonts w:eastAsia="Times New Roman"/>
                <w:sz w:val="20"/>
                <w:szCs w:val="20"/>
              </w:rPr>
              <w:t>34</w:t>
            </w:r>
            <w:r w:rsidRPr="0022101C">
              <w:rPr>
                <w:rFonts w:eastAsia="Times New Roman"/>
                <w:sz w:val="20"/>
                <w:szCs w:val="20"/>
              </w:rPr>
              <w:t>%;</w:t>
            </w:r>
          </w:p>
          <w:p w14:paraId="18C651A9"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Chronic: 0%</w:t>
            </w:r>
          </w:p>
        </w:tc>
        <w:tc>
          <w:tcPr>
            <w:tcW w:w="3510" w:type="dxa"/>
            <w:vMerge/>
            <w:shd w:val="clear" w:color="auto" w:fill="auto"/>
            <w:tcMar>
              <w:top w:w="100" w:type="dxa"/>
              <w:left w:w="100" w:type="dxa"/>
              <w:bottom w:w="100" w:type="dxa"/>
              <w:right w:w="100" w:type="dxa"/>
            </w:tcMar>
          </w:tcPr>
          <w:p w14:paraId="0B3777C5" w14:textId="77777777" w:rsidR="000147C1" w:rsidRPr="0022101C" w:rsidRDefault="000147C1" w:rsidP="004A631C">
            <w:pPr>
              <w:widowControl w:val="0"/>
              <w:spacing w:line="240" w:lineRule="auto"/>
              <w:rPr>
                <w:rFonts w:eastAsia="Times New Roman"/>
                <w:sz w:val="20"/>
                <w:szCs w:val="20"/>
              </w:rPr>
            </w:pPr>
          </w:p>
        </w:tc>
      </w:tr>
      <w:tr w:rsidR="000147C1" w:rsidRPr="0022101C" w14:paraId="01160181" w14:textId="77777777" w:rsidTr="004A631C">
        <w:trPr>
          <w:trHeight w:val="195"/>
        </w:trPr>
        <w:tc>
          <w:tcPr>
            <w:tcW w:w="8890" w:type="dxa"/>
            <w:gridSpan w:val="4"/>
            <w:shd w:val="clear" w:color="auto" w:fill="auto"/>
            <w:tcMar>
              <w:top w:w="100" w:type="dxa"/>
              <w:left w:w="100" w:type="dxa"/>
              <w:bottom w:w="100" w:type="dxa"/>
              <w:right w:w="100" w:type="dxa"/>
            </w:tcMar>
          </w:tcPr>
          <w:p w14:paraId="4998AC47" w14:textId="77777777" w:rsidR="000147C1" w:rsidRPr="0022101C" w:rsidRDefault="000147C1" w:rsidP="004A631C">
            <w:pPr>
              <w:widowControl w:val="0"/>
              <w:spacing w:line="240" w:lineRule="auto"/>
              <w:rPr>
                <w:rFonts w:eastAsia="Times New Roman"/>
                <w:b/>
                <w:i/>
                <w:sz w:val="20"/>
                <w:szCs w:val="20"/>
              </w:rPr>
            </w:pPr>
            <w:r w:rsidRPr="0022101C">
              <w:rPr>
                <w:rFonts w:eastAsia="Times New Roman"/>
                <w:b/>
                <w:i/>
                <w:sz w:val="20"/>
                <w:szCs w:val="20"/>
              </w:rPr>
              <w:t>Suppurative otitis media</w:t>
            </w:r>
          </w:p>
        </w:tc>
      </w:tr>
      <w:tr w:rsidR="000147C1" w:rsidRPr="0022101C" w14:paraId="6A29C26D" w14:textId="77777777" w:rsidTr="004A631C">
        <w:trPr>
          <w:trHeight w:val="400"/>
        </w:trPr>
        <w:tc>
          <w:tcPr>
            <w:tcW w:w="1830" w:type="dxa"/>
            <w:shd w:val="clear" w:color="auto" w:fill="auto"/>
            <w:tcMar>
              <w:top w:w="100" w:type="dxa"/>
              <w:left w:w="100" w:type="dxa"/>
              <w:bottom w:w="100" w:type="dxa"/>
              <w:right w:w="100" w:type="dxa"/>
            </w:tcMar>
          </w:tcPr>
          <w:p w14:paraId="44445FF2"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0-19 years old</w:t>
            </w:r>
          </w:p>
        </w:tc>
        <w:tc>
          <w:tcPr>
            <w:tcW w:w="1750" w:type="dxa"/>
            <w:shd w:val="clear" w:color="auto" w:fill="auto"/>
            <w:tcMar>
              <w:top w:w="100" w:type="dxa"/>
              <w:left w:w="100" w:type="dxa"/>
              <w:bottom w:w="100" w:type="dxa"/>
              <w:right w:w="100" w:type="dxa"/>
            </w:tcMar>
          </w:tcPr>
          <w:p w14:paraId="0E219598"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10%</w:t>
            </w:r>
          </w:p>
        </w:tc>
        <w:tc>
          <w:tcPr>
            <w:tcW w:w="1800" w:type="dxa"/>
            <w:shd w:val="clear" w:color="auto" w:fill="auto"/>
            <w:tcMar>
              <w:top w:w="100" w:type="dxa"/>
              <w:left w:w="100" w:type="dxa"/>
              <w:bottom w:w="100" w:type="dxa"/>
              <w:right w:w="100" w:type="dxa"/>
            </w:tcMar>
          </w:tcPr>
          <w:p w14:paraId="39749C85"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10%</w:t>
            </w:r>
          </w:p>
        </w:tc>
        <w:tc>
          <w:tcPr>
            <w:tcW w:w="3510" w:type="dxa"/>
            <w:shd w:val="clear" w:color="auto" w:fill="auto"/>
            <w:tcMar>
              <w:top w:w="100" w:type="dxa"/>
              <w:left w:w="100" w:type="dxa"/>
              <w:bottom w:w="100" w:type="dxa"/>
              <w:right w:w="100" w:type="dxa"/>
            </w:tcMar>
          </w:tcPr>
          <w:p w14:paraId="49A56BEA" w14:textId="58A02464" w:rsidR="000147C1" w:rsidRPr="0022101C" w:rsidRDefault="000147C1" w:rsidP="004A631C">
            <w:pPr>
              <w:widowControl w:val="0"/>
              <w:spacing w:line="240" w:lineRule="auto"/>
              <w:rPr>
                <w:rFonts w:eastAsia="Times New Roman"/>
                <w:sz w:val="20"/>
                <w:szCs w:val="20"/>
              </w:rPr>
            </w:pPr>
            <w:r w:rsidRPr="0022101C">
              <w:rPr>
                <w:rFonts w:eastAsia="Times New Roman"/>
                <w:sz w:val="20"/>
                <w:szCs w:val="20"/>
              </w:rPr>
              <w:t>No change. Approximately 84% of pediatric cases were found to have bacterial growth</w:t>
            </w:r>
            <w:r>
              <w:rPr>
                <w:rFonts w:eastAsia="Times New Roman"/>
                <w:sz w:val="20"/>
                <w:szCs w:val="20"/>
              </w:rPr>
              <w:t xml:space="preserve"> </w:t>
            </w:r>
            <w:r>
              <w:rPr>
                <w:rFonts w:eastAsia="Times New Roman"/>
                <w:sz w:val="20"/>
                <w:szCs w:val="20"/>
              </w:rPr>
              <w:fldChar w:fldCharType="begin"/>
            </w:r>
            <w:r w:rsidR="003C2FC0">
              <w:rPr>
                <w:rFonts w:eastAsia="Times New Roman"/>
                <w:sz w:val="20"/>
                <w:szCs w:val="20"/>
              </w:rPr>
              <w:instrText xml:space="preserve"> ADDIN ZOTERO_ITEM CSL_CITATION {"citationID":"3HMHFzJR","properties":{"formattedCitation":"(Bluestone, Stephenson, &amp; Martin, 1992)","plainCitation":"(Bluestone, Stephenson, &amp; Martin, 1992)","noteIndex":0},"citationItems":[{"id":238,"uris":["http://zotero.org/users/local/trVziEeF/items/CJZ35WSA"],"uri":["http://zotero.org/users/local/trVziEeF/items/CJZ35WSA"],"itemData":{"id":238,"type":"article-journal","container-title":"The Pediatric Infectious Disease Journal","DOI":"10.1097/00006454-199208001-00002","issue":"8","page":"S7-S11","title":"Ten-year review of otitis media pathogens","volume":"11","author":[{"family":"Bluestone","given":"Charles D."},{"family":"Stephenson","given":"Janet S."},{"family":"Martin","given":"Lillian M."}],"issued":{"date-parts":[["1992",8]]}}}],"schema":"https://github.com/citation-style-language/schema/raw/master/csl-citation.json"} </w:instrText>
            </w:r>
            <w:r>
              <w:rPr>
                <w:rFonts w:eastAsia="Times New Roman"/>
                <w:sz w:val="20"/>
                <w:szCs w:val="20"/>
              </w:rPr>
              <w:fldChar w:fldCharType="separate"/>
            </w:r>
            <w:r w:rsidR="003C2FC0">
              <w:rPr>
                <w:rFonts w:eastAsia="Times New Roman"/>
                <w:noProof/>
                <w:sz w:val="20"/>
                <w:szCs w:val="20"/>
              </w:rPr>
              <w:t>(Bluestone, Stephenson, &amp; Martin, 1992)</w:t>
            </w:r>
            <w:r>
              <w:rPr>
                <w:rFonts w:eastAsia="Times New Roman"/>
                <w:sz w:val="20"/>
                <w:szCs w:val="20"/>
              </w:rPr>
              <w:fldChar w:fldCharType="end"/>
            </w:r>
            <w:r>
              <w:rPr>
                <w:rFonts w:eastAsia="Times New Roman"/>
                <w:sz w:val="20"/>
                <w:szCs w:val="20"/>
              </w:rPr>
              <w:t>,</w:t>
            </w:r>
            <w:r w:rsidRPr="0022101C">
              <w:rPr>
                <w:rFonts w:eastAsia="Times New Roman"/>
                <w:sz w:val="20"/>
                <w:szCs w:val="20"/>
              </w:rPr>
              <w:t xml:space="preserve"> so 10% is a reasonable estimate for avertable use.</w:t>
            </w:r>
          </w:p>
        </w:tc>
      </w:tr>
      <w:tr w:rsidR="000147C1" w:rsidRPr="0022101C" w14:paraId="21394F2A" w14:textId="77777777" w:rsidTr="004A631C">
        <w:trPr>
          <w:trHeight w:val="816"/>
        </w:trPr>
        <w:tc>
          <w:tcPr>
            <w:tcW w:w="1830" w:type="dxa"/>
            <w:shd w:val="clear" w:color="auto" w:fill="auto"/>
            <w:tcMar>
              <w:top w:w="100" w:type="dxa"/>
              <w:left w:w="100" w:type="dxa"/>
              <w:bottom w:w="100" w:type="dxa"/>
              <w:right w:w="100" w:type="dxa"/>
            </w:tcMar>
          </w:tcPr>
          <w:p w14:paraId="5F14C84E"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20-64 years old</w:t>
            </w:r>
          </w:p>
        </w:tc>
        <w:tc>
          <w:tcPr>
            <w:tcW w:w="1750" w:type="dxa"/>
            <w:shd w:val="clear" w:color="auto" w:fill="auto"/>
            <w:tcMar>
              <w:top w:w="100" w:type="dxa"/>
              <w:left w:w="100" w:type="dxa"/>
              <w:bottom w:w="100" w:type="dxa"/>
              <w:right w:w="100" w:type="dxa"/>
            </w:tcMar>
          </w:tcPr>
          <w:p w14:paraId="3B554A14"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33%</w:t>
            </w:r>
          </w:p>
        </w:tc>
        <w:tc>
          <w:tcPr>
            <w:tcW w:w="1800" w:type="dxa"/>
            <w:shd w:val="clear" w:color="auto" w:fill="auto"/>
            <w:tcMar>
              <w:top w:w="100" w:type="dxa"/>
              <w:left w:w="100" w:type="dxa"/>
              <w:bottom w:w="100" w:type="dxa"/>
              <w:right w:w="100" w:type="dxa"/>
            </w:tcMar>
          </w:tcPr>
          <w:p w14:paraId="5207B0C4"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26%</w:t>
            </w:r>
          </w:p>
        </w:tc>
        <w:tc>
          <w:tcPr>
            <w:tcW w:w="3510" w:type="dxa"/>
            <w:shd w:val="clear" w:color="auto" w:fill="auto"/>
            <w:tcMar>
              <w:top w:w="100" w:type="dxa"/>
              <w:left w:w="100" w:type="dxa"/>
              <w:bottom w:w="100" w:type="dxa"/>
              <w:right w:w="100" w:type="dxa"/>
            </w:tcMar>
          </w:tcPr>
          <w:p w14:paraId="0C151E55" w14:textId="52F2BB24" w:rsidR="000147C1" w:rsidRPr="0022101C" w:rsidRDefault="000147C1" w:rsidP="004A631C">
            <w:pPr>
              <w:widowControl w:val="0"/>
              <w:spacing w:line="240" w:lineRule="auto"/>
              <w:rPr>
                <w:rFonts w:eastAsia="Times New Roman"/>
                <w:sz w:val="20"/>
                <w:szCs w:val="20"/>
              </w:rPr>
            </w:pPr>
            <w:r w:rsidRPr="0022101C">
              <w:rPr>
                <w:rFonts w:eastAsia="Times New Roman"/>
                <w:sz w:val="20"/>
                <w:szCs w:val="20"/>
              </w:rPr>
              <w:t>Based on an etiology study in adults, only 26% of cases were found to have no bacterial growth</w:t>
            </w:r>
            <w:r>
              <w:rPr>
                <w:rFonts w:eastAsia="Times New Roman"/>
                <w:sz w:val="20"/>
                <w:szCs w:val="20"/>
              </w:rPr>
              <w:t xml:space="preserve"> </w:t>
            </w:r>
            <w:r>
              <w:rPr>
                <w:rFonts w:eastAsia="Times New Roman"/>
                <w:sz w:val="20"/>
                <w:szCs w:val="20"/>
              </w:rPr>
              <w:fldChar w:fldCharType="begin"/>
            </w:r>
            <w:r w:rsidR="003C2FC0">
              <w:rPr>
                <w:rFonts w:eastAsia="Times New Roman"/>
                <w:sz w:val="20"/>
                <w:szCs w:val="20"/>
              </w:rPr>
              <w:instrText xml:space="preserve"> ADDIN ZOTERO_ITEM CSL_CITATION {"citationID":"ZqBKxEHx","properties":{"formattedCitation":"(Celin, Bluestone, Stephenson, Yilmaz, &amp; Collins, 1991)","plainCitation":"(Celin, Bluestone, Stephenson, Yilmaz, &amp; Collins, 1991)","noteIndex":0},"citationItems":[{"id":214,"uris":["http://zotero.org/users/local/trVziEeF/items/IGKR34KQ"],"uri":["http://zotero.org/users/local/trVziEeF/items/IGKR34KQ"],"itemData":{"id":214,"type":"article-journal","abstract":"OBJECTIVE: --The objective of this study was to determine the bacteriology of acute otitis media in adults. Although this has frequently been studied in children, no data have recently been reported from adults in the United States. Additionally, information on the prevalence of Haemophilus influenzae as a causative organism in acute otitis media in adults has not been available. DESIGN: --Middle-ear aspirates for cultures were obtained by myringotomy from adults meeting entry criteria. SETTING: --Emergency department, Eye and Ear Hospital of Pittsburgh, Pa. PATIENTS: --Thirty-four patients (volunteer sample) met the eligibility requirements. Exclusion criteria included history of chronic otitis media, recent antibiotic therapy, immunosuppressive illnesses, or prior otologic surgery. INTERVENTION: --Ten days of oral cefuroxime axetil (250 mg) was prescribed. MAIN OUTCOME MEASURES: --Patients were followed closely for at least 6 weeks. Aerobic and anaerobic cultures were incubated and evaluated per the scheduled protocol. RESULTS: --Haemophilus influenzae and Streptococcus pneumoniae were grown on culture of specimens from nine and seven patients (26% and 21%), respectively. Twenty-two percent (2/9) of the H influenzae isolates and the single isolate of Moraxella catarrhalis produced beta-lactamase (9% overall). CONCLUSIONS: --The present results suggest that, as in children, amoxicillin would be an appropriate first-line agent for empiric therapy of acute otitis media in adults. Antimicrobials inactive against H influenzae (eg, penicillin V, cephalexin, erythromycin, or tetracyclines) are not appropriate for initial therapy. Antimicrobials with efficacy against organisms producing beta-lactamase, such as cefuroxime axetil, which was used to treat the study patients, do not appear to be required for routine initial therapy in adults. However, they would be appropriate when an organism producing beta-lactamase is isolated from the middle ear or when a patient fails to improve rapidly on amoxicillin therapy.","container-title":"JAMA","DOI":"10.1001/jama.266.16.2249","ISSN":"0098-7484 (Print)\\r0098-7484 (Linking)","issue":"16","page":"2249-2252","title":"Bacteriology of Acute Otitis Media in Adults","volume":"266","author":[{"family":"Celin","given":"S. E."},{"family":"Bluestone","given":"Charles D."},{"family":"Stephenson","given":"Janet"},{"family":"Yilmaz","given":"Hilary M."},{"family":"Collins","given":"Jeffrey J."}],"issued":{"date-parts":[["1991"]]}}}],"schema":"https://github.com/citation-style-language/schema/raw/master/csl-citation.json"} </w:instrText>
            </w:r>
            <w:r>
              <w:rPr>
                <w:rFonts w:eastAsia="Times New Roman"/>
                <w:sz w:val="20"/>
                <w:szCs w:val="20"/>
              </w:rPr>
              <w:fldChar w:fldCharType="separate"/>
            </w:r>
            <w:r w:rsidR="003C2FC0">
              <w:rPr>
                <w:rFonts w:eastAsia="Times New Roman"/>
                <w:noProof/>
                <w:sz w:val="20"/>
                <w:szCs w:val="20"/>
              </w:rPr>
              <w:t>(Celin, Bluestone, Stephenson, Yilmaz, &amp; Collins, 1991)</w:t>
            </w:r>
            <w:r>
              <w:rPr>
                <w:rFonts w:eastAsia="Times New Roman"/>
                <w:sz w:val="20"/>
                <w:szCs w:val="20"/>
              </w:rPr>
              <w:fldChar w:fldCharType="end"/>
            </w:r>
            <w:r>
              <w:rPr>
                <w:rFonts w:eastAsia="Times New Roman"/>
                <w:sz w:val="20"/>
                <w:szCs w:val="20"/>
              </w:rPr>
              <w:t>.</w:t>
            </w:r>
          </w:p>
        </w:tc>
      </w:tr>
      <w:tr w:rsidR="000147C1" w:rsidRPr="0022101C" w14:paraId="615CA44E" w14:textId="77777777" w:rsidTr="003C2FC0">
        <w:trPr>
          <w:trHeight w:val="330"/>
        </w:trPr>
        <w:tc>
          <w:tcPr>
            <w:tcW w:w="1830" w:type="dxa"/>
            <w:shd w:val="clear" w:color="auto" w:fill="auto"/>
            <w:tcMar>
              <w:top w:w="100" w:type="dxa"/>
              <w:left w:w="100" w:type="dxa"/>
              <w:bottom w:w="100" w:type="dxa"/>
              <w:right w:w="100" w:type="dxa"/>
            </w:tcMar>
          </w:tcPr>
          <w:p w14:paraId="2E9EBF26"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&gt;64 years old</w:t>
            </w:r>
          </w:p>
        </w:tc>
        <w:tc>
          <w:tcPr>
            <w:tcW w:w="1750" w:type="dxa"/>
            <w:shd w:val="clear" w:color="auto" w:fill="auto"/>
            <w:tcMar>
              <w:top w:w="100" w:type="dxa"/>
              <w:left w:w="100" w:type="dxa"/>
              <w:bottom w:w="100" w:type="dxa"/>
              <w:right w:w="100" w:type="dxa"/>
            </w:tcMar>
          </w:tcPr>
          <w:p w14:paraId="1B17D3D2"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NA (assume 0%)</w:t>
            </w:r>
          </w:p>
        </w:tc>
        <w:tc>
          <w:tcPr>
            <w:tcW w:w="1800" w:type="dxa"/>
            <w:shd w:val="clear" w:color="auto" w:fill="auto"/>
            <w:tcMar>
              <w:top w:w="100" w:type="dxa"/>
              <w:left w:w="100" w:type="dxa"/>
              <w:bottom w:w="100" w:type="dxa"/>
              <w:right w:w="100" w:type="dxa"/>
            </w:tcMar>
          </w:tcPr>
          <w:p w14:paraId="7C25EFE9" w14:textId="77777777" w:rsidR="000147C1" w:rsidRPr="0022101C" w:rsidRDefault="000147C1" w:rsidP="004A631C">
            <w:pPr>
              <w:widowControl w:val="0"/>
              <w:spacing w:line="240" w:lineRule="auto"/>
              <w:jc w:val="center"/>
              <w:rPr>
                <w:rFonts w:eastAsia="Times New Roman"/>
                <w:sz w:val="20"/>
                <w:szCs w:val="20"/>
              </w:rPr>
            </w:pPr>
            <w:r w:rsidRPr="0022101C">
              <w:rPr>
                <w:rFonts w:eastAsia="Times New Roman"/>
                <w:sz w:val="20"/>
                <w:szCs w:val="20"/>
              </w:rPr>
              <w:t>NA (assume 0%)</w:t>
            </w:r>
          </w:p>
        </w:tc>
        <w:tc>
          <w:tcPr>
            <w:tcW w:w="3510" w:type="dxa"/>
            <w:shd w:val="clear" w:color="auto" w:fill="auto"/>
            <w:tcMar>
              <w:top w:w="100" w:type="dxa"/>
              <w:left w:w="100" w:type="dxa"/>
              <w:bottom w:w="100" w:type="dxa"/>
              <w:right w:w="100" w:type="dxa"/>
            </w:tcMar>
          </w:tcPr>
          <w:p w14:paraId="5671A891" w14:textId="77777777" w:rsidR="000147C1" w:rsidRPr="0022101C" w:rsidRDefault="000147C1" w:rsidP="004A631C">
            <w:pPr>
              <w:widowControl w:val="0"/>
              <w:spacing w:line="240" w:lineRule="auto"/>
              <w:rPr>
                <w:rFonts w:eastAsia="Times New Roman"/>
                <w:sz w:val="20"/>
                <w:szCs w:val="20"/>
              </w:rPr>
            </w:pPr>
            <w:r w:rsidRPr="0022101C">
              <w:rPr>
                <w:rFonts w:eastAsia="Times New Roman"/>
                <w:sz w:val="20"/>
                <w:szCs w:val="20"/>
              </w:rPr>
              <w:t>No change.</w:t>
            </w:r>
          </w:p>
        </w:tc>
      </w:tr>
    </w:tbl>
    <w:p w14:paraId="4F34003C" w14:textId="2ABED96C" w:rsidR="000147C1" w:rsidRDefault="000147C1" w:rsidP="000147C1">
      <w:pPr>
        <w:rPr>
          <w:rFonts w:eastAsia="Times New Roman"/>
          <w:b/>
          <w:sz w:val="24"/>
          <w:szCs w:val="24"/>
        </w:rPr>
      </w:pPr>
      <w:r w:rsidRPr="00CA3C2F">
        <w:rPr>
          <w:rFonts w:eastAsia="Times New Roman"/>
          <w:b/>
          <w:sz w:val="24"/>
          <w:szCs w:val="24"/>
        </w:rPr>
        <w:lastRenderedPageBreak/>
        <w:t>References</w:t>
      </w:r>
    </w:p>
    <w:p w14:paraId="76A7D933" w14:textId="77777777" w:rsidR="003C2FC0" w:rsidRDefault="003C2FC0" w:rsidP="000147C1">
      <w:pPr>
        <w:rPr>
          <w:rFonts w:eastAsia="Times New Roman"/>
          <w:b/>
          <w:sz w:val="24"/>
          <w:szCs w:val="24"/>
        </w:rPr>
      </w:pPr>
    </w:p>
    <w:p w14:paraId="18B4D669" w14:textId="77777777" w:rsidR="003C2FC0" w:rsidRPr="003C2FC0" w:rsidRDefault="003C2FC0" w:rsidP="003C2FC0">
      <w:pPr>
        <w:pStyle w:val="Bibliography"/>
        <w:rPr>
          <w:sz w:val="20"/>
          <w:szCs w:val="20"/>
        </w:rPr>
      </w:pPr>
      <w:r w:rsidRPr="003C2FC0">
        <w:rPr>
          <w:rFonts w:eastAsia="Times New Roman"/>
          <w:bCs/>
          <w:sz w:val="20"/>
          <w:szCs w:val="20"/>
        </w:rPr>
        <w:fldChar w:fldCharType="begin"/>
      </w:r>
      <w:r w:rsidRPr="003C2FC0">
        <w:rPr>
          <w:rFonts w:eastAsia="Times New Roman"/>
          <w:bCs/>
          <w:sz w:val="20"/>
          <w:szCs w:val="20"/>
        </w:rPr>
        <w:instrText xml:space="preserve"> ADDIN ZOTERO_BIBL {"uncited":[],"omitted":[],"custom":[]} CSL_BIBLIOGRAPHY </w:instrText>
      </w:r>
      <w:r w:rsidRPr="003C2FC0">
        <w:rPr>
          <w:rFonts w:eastAsia="Times New Roman"/>
          <w:bCs/>
          <w:sz w:val="20"/>
          <w:szCs w:val="20"/>
        </w:rPr>
        <w:fldChar w:fldCharType="separate"/>
      </w:r>
      <w:r w:rsidRPr="003C2FC0">
        <w:rPr>
          <w:sz w:val="20"/>
          <w:szCs w:val="20"/>
        </w:rPr>
        <w:t xml:space="preserve">Bluestone, C. D., Stephenson, J. S., &amp; Martin, L. M. (1992). Ten-year review of otitis media pathogens. </w:t>
      </w:r>
      <w:r w:rsidRPr="003C2FC0">
        <w:rPr>
          <w:i/>
          <w:iCs/>
          <w:sz w:val="20"/>
          <w:szCs w:val="20"/>
        </w:rPr>
        <w:t>The Pediatric Infectious Disease Journal</w:t>
      </w:r>
      <w:r w:rsidRPr="003C2FC0">
        <w:rPr>
          <w:sz w:val="20"/>
          <w:szCs w:val="20"/>
        </w:rPr>
        <w:t xml:space="preserve">, </w:t>
      </w:r>
      <w:r w:rsidRPr="003C2FC0">
        <w:rPr>
          <w:i/>
          <w:iCs/>
          <w:sz w:val="20"/>
          <w:szCs w:val="20"/>
        </w:rPr>
        <w:t>11</w:t>
      </w:r>
      <w:r w:rsidRPr="003C2FC0">
        <w:rPr>
          <w:sz w:val="20"/>
          <w:szCs w:val="20"/>
        </w:rPr>
        <w:t>(8), S7–S11. https://doi.org/10.1097/00006454-199208001-00002</w:t>
      </w:r>
    </w:p>
    <w:p w14:paraId="6C92479E" w14:textId="77777777" w:rsidR="003C2FC0" w:rsidRPr="003C2FC0" w:rsidRDefault="003C2FC0" w:rsidP="003C2FC0">
      <w:pPr>
        <w:pStyle w:val="Bibliography"/>
        <w:rPr>
          <w:sz w:val="20"/>
          <w:szCs w:val="20"/>
        </w:rPr>
      </w:pPr>
      <w:r w:rsidRPr="003C2FC0">
        <w:rPr>
          <w:sz w:val="20"/>
          <w:szCs w:val="20"/>
        </w:rPr>
        <w:t xml:space="preserve">Brook, I. (2016). Microbiology of chronic rhinosinusitis. </w:t>
      </w:r>
      <w:r w:rsidRPr="003C2FC0">
        <w:rPr>
          <w:i/>
          <w:iCs/>
          <w:sz w:val="20"/>
          <w:szCs w:val="20"/>
        </w:rPr>
        <w:t>European Journal of Clinical Microbiology &amp; Infectious Diseases</w:t>
      </w:r>
      <w:r w:rsidRPr="003C2FC0">
        <w:rPr>
          <w:sz w:val="20"/>
          <w:szCs w:val="20"/>
        </w:rPr>
        <w:t xml:space="preserve">, </w:t>
      </w:r>
      <w:r w:rsidRPr="003C2FC0">
        <w:rPr>
          <w:i/>
          <w:iCs/>
          <w:sz w:val="20"/>
          <w:szCs w:val="20"/>
        </w:rPr>
        <w:t>35</w:t>
      </w:r>
      <w:r w:rsidRPr="003C2FC0">
        <w:rPr>
          <w:sz w:val="20"/>
          <w:szCs w:val="20"/>
        </w:rPr>
        <w:t>(7), 1059–1068. https://doi.org/10.1007/s10096-016-2640-x</w:t>
      </w:r>
    </w:p>
    <w:p w14:paraId="42D2718F" w14:textId="77777777" w:rsidR="003C2FC0" w:rsidRPr="003C2FC0" w:rsidRDefault="003C2FC0" w:rsidP="003C2FC0">
      <w:pPr>
        <w:pStyle w:val="Bibliography"/>
        <w:rPr>
          <w:sz w:val="20"/>
          <w:szCs w:val="20"/>
        </w:rPr>
      </w:pPr>
      <w:proofErr w:type="spellStart"/>
      <w:r w:rsidRPr="003C2FC0">
        <w:rPr>
          <w:sz w:val="20"/>
          <w:szCs w:val="20"/>
        </w:rPr>
        <w:t>Celin</w:t>
      </w:r>
      <w:proofErr w:type="spellEnd"/>
      <w:r w:rsidRPr="003C2FC0">
        <w:rPr>
          <w:sz w:val="20"/>
          <w:szCs w:val="20"/>
        </w:rPr>
        <w:t xml:space="preserve">, S. E., Bluestone, C. D., Stephenson, J., Yilmaz, H. M., &amp; Collins, J. J. (1991). Bacteriology of Acute Otitis Media in Adults. </w:t>
      </w:r>
      <w:r w:rsidRPr="003C2FC0">
        <w:rPr>
          <w:i/>
          <w:iCs/>
          <w:sz w:val="20"/>
          <w:szCs w:val="20"/>
        </w:rPr>
        <w:t>JAMA</w:t>
      </w:r>
      <w:r w:rsidRPr="003C2FC0">
        <w:rPr>
          <w:sz w:val="20"/>
          <w:szCs w:val="20"/>
        </w:rPr>
        <w:t xml:space="preserve">, </w:t>
      </w:r>
      <w:r w:rsidRPr="003C2FC0">
        <w:rPr>
          <w:i/>
          <w:iCs/>
          <w:sz w:val="20"/>
          <w:szCs w:val="20"/>
        </w:rPr>
        <w:t>266</w:t>
      </w:r>
      <w:r w:rsidRPr="003C2FC0">
        <w:rPr>
          <w:sz w:val="20"/>
          <w:szCs w:val="20"/>
        </w:rPr>
        <w:t>(16), 2249–2252. https://doi.org/10.1001/jama.266.16.2249</w:t>
      </w:r>
    </w:p>
    <w:p w14:paraId="1E5B49DA" w14:textId="77777777" w:rsidR="003C2FC0" w:rsidRPr="003C2FC0" w:rsidRDefault="003C2FC0" w:rsidP="003C2FC0">
      <w:pPr>
        <w:pStyle w:val="Bibliography"/>
        <w:rPr>
          <w:sz w:val="20"/>
          <w:szCs w:val="20"/>
        </w:rPr>
      </w:pPr>
      <w:r w:rsidRPr="003C2FC0">
        <w:rPr>
          <w:sz w:val="20"/>
          <w:szCs w:val="20"/>
        </w:rPr>
        <w:t xml:space="preserve">Fleming-Dutra, K. E., Hersh, A. L., Shapiro, D. J., </w:t>
      </w:r>
      <w:proofErr w:type="spellStart"/>
      <w:r w:rsidRPr="003C2FC0">
        <w:rPr>
          <w:sz w:val="20"/>
          <w:szCs w:val="20"/>
        </w:rPr>
        <w:t>Bartoces</w:t>
      </w:r>
      <w:proofErr w:type="spellEnd"/>
      <w:r w:rsidRPr="003C2FC0">
        <w:rPr>
          <w:sz w:val="20"/>
          <w:szCs w:val="20"/>
        </w:rPr>
        <w:t xml:space="preserve">, M., Enns, E. A., File, T. M., … Hicks, L. A. (2016). Prevalence of Inappropriate Antibiotic Prescriptions Among US Ambulatory Care Visits, 2010-2011. </w:t>
      </w:r>
      <w:r w:rsidRPr="003C2FC0">
        <w:rPr>
          <w:i/>
          <w:iCs/>
          <w:sz w:val="20"/>
          <w:szCs w:val="20"/>
        </w:rPr>
        <w:t>JAMA</w:t>
      </w:r>
      <w:r w:rsidRPr="003C2FC0">
        <w:rPr>
          <w:sz w:val="20"/>
          <w:szCs w:val="20"/>
        </w:rPr>
        <w:t xml:space="preserve">, </w:t>
      </w:r>
      <w:r w:rsidRPr="003C2FC0">
        <w:rPr>
          <w:i/>
          <w:iCs/>
          <w:sz w:val="20"/>
          <w:szCs w:val="20"/>
        </w:rPr>
        <w:t>315</w:t>
      </w:r>
      <w:r w:rsidRPr="003C2FC0">
        <w:rPr>
          <w:sz w:val="20"/>
          <w:szCs w:val="20"/>
        </w:rPr>
        <w:t>(17), 1864–1873. https://doi.org/10.1001/jama.2016.4151</w:t>
      </w:r>
    </w:p>
    <w:p w14:paraId="29E2A3B1" w14:textId="69B0DD70" w:rsidR="003C2FC0" w:rsidRPr="003C2FC0" w:rsidRDefault="003C2FC0" w:rsidP="000147C1">
      <w:pPr>
        <w:rPr>
          <w:rFonts w:eastAsia="Times New Roman"/>
          <w:bCs/>
          <w:sz w:val="24"/>
          <w:szCs w:val="24"/>
        </w:rPr>
      </w:pPr>
      <w:r w:rsidRPr="003C2FC0">
        <w:rPr>
          <w:rFonts w:eastAsia="Times New Roman"/>
          <w:bCs/>
          <w:sz w:val="20"/>
          <w:szCs w:val="20"/>
        </w:rPr>
        <w:fldChar w:fldCharType="end"/>
      </w:r>
    </w:p>
    <w:p w14:paraId="1F0FFF45" w14:textId="473C3292" w:rsidR="00EB60F5" w:rsidRDefault="003C2FC0" w:rsidP="000147C1">
      <w:pPr>
        <w:spacing w:line="240" w:lineRule="auto"/>
      </w:pPr>
    </w:p>
    <w:p w14:paraId="6B6CF19D" w14:textId="77777777" w:rsidR="000147C1" w:rsidRDefault="000147C1" w:rsidP="000147C1">
      <w:pPr>
        <w:spacing w:line="240" w:lineRule="auto"/>
      </w:pPr>
    </w:p>
    <w:sectPr w:rsidR="000147C1" w:rsidSect="00F60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C1"/>
    <w:rsid w:val="00001730"/>
    <w:rsid w:val="00001FD9"/>
    <w:rsid w:val="000147C1"/>
    <w:rsid w:val="000147DB"/>
    <w:rsid w:val="0001662F"/>
    <w:rsid w:val="000204E1"/>
    <w:rsid w:val="00042999"/>
    <w:rsid w:val="00084292"/>
    <w:rsid w:val="00085A24"/>
    <w:rsid w:val="00096841"/>
    <w:rsid w:val="000D6F5D"/>
    <w:rsid w:val="000F5B01"/>
    <w:rsid w:val="00111462"/>
    <w:rsid w:val="0012267C"/>
    <w:rsid w:val="00130760"/>
    <w:rsid w:val="00131AC2"/>
    <w:rsid w:val="00156191"/>
    <w:rsid w:val="00170362"/>
    <w:rsid w:val="00182998"/>
    <w:rsid w:val="001C4F1D"/>
    <w:rsid w:val="001F5110"/>
    <w:rsid w:val="00200041"/>
    <w:rsid w:val="002020F9"/>
    <w:rsid w:val="00234DD5"/>
    <w:rsid w:val="00242346"/>
    <w:rsid w:val="002704A6"/>
    <w:rsid w:val="002752A0"/>
    <w:rsid w:val="00283969"/>
    <w:rsid w:val="00287541"/>
    <w:rsid w:val="002B16D6"/>
    <w:rsid w:val="002B4DF4"/>
    <w:rsid w:val="002C5453"/>
    <w:rsid w:val="002D7FC4"/>
    <w:rsid w:val="003337AE"/>
    <w:rsid w:val="003466FE"/>
    <w:rsid w:val="00350B52"/>
    <w:rsid w:val="00361B3A"/>
    <w:rsid w:val="00366A36"/>
    <w:rsid w:val="0037629F"/>
    <w:rsid w:val="00386098"/>
    <w:rsid w:val="003A11CE"/>
    <w:rsid w:val="003B14C3"/>
    <w:rsid w:val="003B3DE4"/>
    <w:rsid w:val="003C2FC0"/>
    <w:rsid w:val="003C5E89"/>
    <w:rsid w:val="003F2744"/>
    <w:rsid w:val="00404800"/>
    <w:rsid w:val="004127F2"/>
    <w:rsid w:val="0044480C"/>
    <w:rsid w:val="00484AFB"/>
    <w:rsid w:val="00490D67"/>
    <w:rsid w:val="0049440D"/>
    <w:rsid w:val="004A481C"/>
    <w:rsid w:val="004B4DEC"/>
    <w:rsid w:val="004F4D3A"/>
    <w:rsid w:val="00517B55"/>
    <w:rsid w:val="00527858"/>
    <w:rsid w:val="0053051C"/>
    <w:rsid w:val="00530A71"/>
    <w:rsid w:val="00551F53"/>
    <w:rsid w:val="00561C32"/>
    <w:rsid w:val="005714A3"/>
    <w:rsid w:val="00580294"/>
    <w:rsid w:val="005830AD"/>
    <w:rsid w:val="005B3729"/>
    <w:rsid w:val="00602898"/>
    <w:rsid w:val="00606D73"/>
    <w:rsid w:val="00627A42"/>
    <w:rsid w:val="0064220B"/>
    <w:rsid w:val="00653C8B"/>
    <w:rsid w:val="0067313E"/>
    <w:rsid w:val="00676B35"/>
    <w:rsid w:val="006823ED"/>
    <w:rsid w:val="00682C65"/>
    <w:rsid w:val="00691964"/>
    <w:rsid w:val="006A1718"/>
    <w:rsid w:val="006A1724"/>
    <w:rsid w:val="006A7578"/>
    <w:rsid w:val="006B554C"/>
    <w:rsid w:val="006C70FE"/>
    <w:rsid w:val="006C7CAE"/>
    <w:rsid w:val="006D2DA6"/>
    <w:rsid w:val="006D3368"/>
    <w:rsid w:val="006E3168"/>
    <w:rsid w:val="006E7BE9"/>
    <w:rsid w:val="006F1980"/>
    <w:rsid w:val="006F236E"/>
    <w:rsid w:val="0071435C"/>
    <w:rsid w:val="007230D8"/>
    <w:rsid w:val="00732CDA"/>
    <w:rsid w:val="00735022"/>
    <w:rsid w:val="007370BF"/>
    <w:rsid w:val="00743265"/>
    <w:rsid w:val="00770C8D"/>
    <w:rsid w:val="00780383"/>
    <w:rsid w:val="0078213F"/>
    <w:rsid w:val="007C2933"/>
    <w:rsid w:val="007D3EBF"/>
    <w:rsid w:val="007D40A8"/>
    <w:rsid w:val="007D768D"/>
    <w:rsid w:val="00825E2E"/>
    <w:rsid w:val="008268CD"/>
    <w:rsid w:val="00831495"/>
    <w:rsid w:val="008336B4"/>
    <w:rsid w:val="00833821"/>
    <w:rsid w:val="00844986"/>
    <w:rsid w:val="008973A0"/>
    <w:rsid w:val="008A47A0"/>
    <w:rsid w:val="008B72CB"/>
    <w:rsid w:val="008D3ED0"/>
    <w:rsid w:val="009035B1"/>
    <w:rsid w:val="009243FB"/>
    <w:rsid w:val="00925CA3"/>
    <w:rsid w:val="00936146"/>
    <w:rsid w:val="00936758"/>
    <w:rsid w:val="00964030"/>
    <w:rsid w:val="009731F5"/>
    <w:rsid w:val="009A331B"/>
    <w:rsid w:val="009B7F2D"/>
    <w:rsid w:val="009D2608"/>
    <w:rsid w:val="009D67BD"/>
    <w:rsid w:val="00A01772"/>
    <w:rsid w:val="00A135F9"/>
    <w:rsid w:val="00A1695D"/>
    <w:rsid w:val="00A2310A"/>
    <w:rsid w:val="00A3249A"/>
    <w:rsid w:val="00A453D7"/>
    <w:rsid w:val="00A50666"/>
    <w:rsid w:val="00A83A5D"/>
    <w:rsid w:val="00A90C67"/>
    <w:rsid w:val="00A95455"/>
    <w:rsid w:val="00AB7792"/>
    <w:rsid w:val="00AC0796"/>
    <w:rsid w:val="00AC2908"/>
    <w:rsid w:val="00AF6F35"/>
    <w:rsid w:val="00B01E65"/>
    <w:rsid w:val="00B04A9F"/>
    <w:rsid w:val="00B115FC"/>
    <w:rsid w:val="00B13ED8"/>
    <w:rsid w:val="00B14872"/>
    <w:rsid w:val="00B55A01"/>
    <w:rsid w:val="00B746A6"/>
    <w:rsid w:val="00B75788"/>
    <w:rsid w:val="00B82A4D"/>
    <w:rsid w:val="00BA19F4"/>
    <w:rsid w:val="00BB522C"/>
    <w:rsid w:val="00BB7DA4"/>
    <w:rsid w:val="00BD0E92"/>
    <w:rsid w:val="00BD3154"/>
    <w:rsid w:val="00BD4D4B"/>
    <w:rsid w:val="00BE467B"/>
    <w:rsid w:val="00BF5D81"/>
    <w:rsid w:val="00C04877"/>
    <w:rsid w:val="00C173E5"/>
    <w:rsid w:val="00C31BF5"/>
    <w:rsid w:val="00C3454F"/>
    <w:rsid w:val="00C6129E"/>
    <w:rsid w:val="00C630FF"/>
    <w:rsid w:val="00C72224"/>
    <w:rsid w:val="00C820DA"/>
    <w:rsid w:val="00C83BE1"/>
    <w:rsid w:val="00CE174F"/>
    <w:rsid w:val="00CE4BE6"/>
    <w:rsid w:val="00D05894"/>
    <w:rsid w:val="00D5563C"/>
    <w:rsid w:val="00D612EB"/>
    <w:rsid w:val="00D62F71"/>
    <w:rsid w:val="00D67E76"/>
    <w:rsid w:val="00D80623"/>
    <w:rsid w:val="00D83C18"/>
    <w:rsid w:val="00D872A2"/>
    <w:rsid w:val="00DA7C81"/>
    <w:rsid w:val="00DC35C9"/>
    <w:rsid w:val="00DD4E7C"/>
    <w:rsid w:val="00DD7325"/>
    <w:rsid w:val="00DE6C26"/>
    <w:rsid w:val="00DF0075"/>
    <w:rsid w:val="00DF71C6"/>
    <w:rsid w:val="00E061B9"/>
    <w:rsid w:val="00E24DA1"/>
    <w:rsid w:val="00E47D75"/>
    <w:rsid w:val="00E53A09"/>
    <w:rsid w:val="00E5466E"/>
    <w:rsid w:val="00E57348"/>
    <w:rsid w:val="00E85C6B"/>
    <w:rsid w:val="00EA00F0"/>
    <w:rsid w:val="00EB705A"/>
    <w:rsid w:val="00EC74C5"/>
    <w:rsid w:val="00F20C92"/>
    <w:rsid w:val="00F32943"/>
    <w:rsid w:val="00F42D0F"/>
    <w:rsid w:val="00F46B55"/>
    <w:rsid w:val="00F607A5"/>
    <w:rsid w:val="00F91CA4"/>
    <w:rsid w:val="00F9298E"/>
    <w:rsid w:val="00FA2740"/>
    <w:rsid w:val="00FC0557"/>
    <w:rsid w:val="00FC2409"/>
    <w:rsid w:val="00FC2D0C"/>
    <w:rsid w:val="00FC34F5"/>
    <w:rsid w:val="00FD363B"/>
    <w:rsid w:val="00FF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F34E3"/>
  <w14:defaultImageDpi w14:val="32767"/>
  <w15:chartTrackingRefBased/>
  <w15:docId w15:val="{E98DD120-E359-4147-A5C0-674AEA58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47C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0147C1"/>
    <w:pPr>
      <w:spacing w:line="276" w:lineRule="auto"/>
    </w:pPr>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3C2FC0"/>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3156</Words>
  <Characters>17995</Characters>
  <Application>Microsoft Office Word</Application>
  <DocSecurity>0</DocSecurity>
  <Lines>149</Lines>
  <Paragraphs>42</Paragraphs>
  <ScaleCrop>false</ScaleCrop>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Tedijanto, Christine Renata</dc:creator>
  <cp:keywords/>
  <dc:description/>
  <cp:lastModifiedBy>Tedijanto, Christine Renata</cp:lastModifiedBy>
  <cp:revision>2</cp:revision>
  <dcterms:created xsi:type="dcterms:W3CDTF">2020-01-23T15:27:00Z</dcterms:created>
  <dcterms:modified xsi:type="dcterms:W3CDTF">2020-01-23T15:30:00Z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id="YFnx3TXW"/&gt;&lt;style id="http://www.zotero.org/styles/apa-6th-edition" locale="en-US"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