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F26CB6" w14:textId="77777777" w:rsidR="003E5D09" w:rsidRDefault="003E5D09" w:rsidP="003E5D09">
      <w:pPr>
        <w:rPr>
          <w:rFonts w:eastAsia="Times New Roman"/>
          <w:bCs/>
          <w:sz w:val="24"/>
          <w:szCs w:val="24"/>
        </w:rPr>
      </w:pPr>
      <w:r>
        <w:rPr>
          <w:rFonts w:eastAsia="Times New Roman"/>
          <w:b/>
          <w:sz w:val="24"/>
          <w:szCs w:val="24"/>
        </w:rPr>
        <w:t xml:space="preserve">Figure 1 – Source Data File 3. </w:t>
      </w:r>
      <w:r w:rsidRPr="00274822">
        <w:rPr>
          <w:rFonts w:eastAsia="Times New Roman"/>
          <w:bCs/>
          <w:sz w:val="24"/>
          <w:szCs w:val="24"/>
        </w:rPr>
        <w:t>Estimated antibiotic</w:t>
      </w:r>
      <w:r>
        <w:rPr>
          <w:rFonts w:eastAsia="Times New Roman"/>
          <w:bCs/>
          <w:sz w:val="24"/>
          <w:szCs w:val="24"/>
        </w:rPr>
        <w:t xml:space="preserve"> class exposures by exposed and causative species.</w:t>
      </w:r>
      <w:r w:rsidRPr="001B524C">
        <w:rPr>
          <w:rFonts w:eastAsia="Times New Roman"/>
          <w:bCs/>
          <w:sz w:val="24"/>
          <w:szCs w:val="24"/>
        </w:rPr>
        <w:t xml:space="preserve"> </w:t>
      </w:r>
    </w:p>
    <w:p w14:paraId="324136CB" w14:textId="77777777" w:rsidR="003E5D09" w:rsidRDefault="003E5D09" w:rsidP="003E5D09">
      <w:pPr>
        <w:rPr>
          <w:rFonts w:eastAsia="Times New Roman"/>
          <w:bCs/>
          <w:sz w:val="24"/>
          <w:szCs w:val="24"/>
        </w:rPr>
      </w:pPr>
    </w:p>
    <w:p w14:paraId="0ADFD7D3" w14:textId="77777777" w:rsidR="003E5D09" w:rsidRDefault="003E5D09" w:rsidP="003E5D09">
      <w:pPr>
        <w:rPr>
          <w:rFonts w:eastAsia="Times New Roman"/>
          <w:bCs/>
          <w:sz w:val="20"/>
          <w:szCs w:val="20"/>
        </w:rPr>
      </w:pPr>
      <w:r w:rsidRPr="0083727E">
        <w:rPr>
          <w:rFonts w:eastAsia="Times New Roman"/>
          <w:bCs/>
          <w:sz w:val="20"/>
          <w:szCs w:val="20"/>
        </w:rPr>
        <w:t>The following tables</w:t>
      </w:r>
      <w:r>
        <w:rPr>
          <w:rFonts w:eastAsia="Times New Roman"/>
          <w:bCs/>
          <w:sz w:val="20"/>
          <w:szCs w:val="20"/>
        </w:rPr>
        <w:t xml:space="preserve"> contain the estimated number of annual antibiotic exposures (in </w:t>
      </w:r>
      <w:r w:rsidRPr="004309B8">
        <w:rPr>
          <w:rFonts w:eastAsia="Times New Roman"/>
          <w:bCs/>
          <w:sz w:val="20"/>
          <w:szCs w:val="20"/>
        </w:rPr>
        <w:t>100,000s)</w:t>
      </w:r>
      <w:r>
        <w:rPr>
          <w:rFonts w:eastAsia="Times New Roman"/>
          <w:bCs/>
          <w:sz w:val="20"/>
          <w:szCs w:val="20"/>
        </w:rPr>
        <w:t xml:space="preserve"> in the outpatient setting in the United States by the species being exposed (y-axis) and the species that is the cause of antibiotic use (x-axis). The values in each table, excluding the “Other” and “Overall” columns were calculated using the following expression:</w:t>
      </w:r>
    </w:p>
    <w:p w14:paraId="48677778" w14:textId="77777777" w:rsidR="003E5D09" w:rsidRDefault="003E5D09" w:rsidP="003E5D09">
      <w:pPr>
        <w:rPr>
          <w:rFonts w:eastAsia="Times New Roman"/>
          <w:bCs/>
          <w:sz w:val="20"/>
          <w:szCs w:val="20"/>
        </w:rPr>
      </w:pPr>
    </w:p>
    <w:p w14:paraId="445F0AD0" w14:textId="77777777" w:rsidR="003E5D09" w:rsidRPr="00057B48" w:rsidRDefault="003E5D09" w:rsidP="003E5D09">
      <w:pPr>
        <w:jc w:val="center"/>
        <w:rPr>
          <w:rFonts w:eastAsia="Times New Roman"/>
          <w:bCs/>
          <w:sz w:val="20"/>
          <w:szCs w:val="20"/>
        </w:rPr>
      </w:pPr>
      <m:oMathPara>
        <m:oMath>
          <m:nary>
            <m:naryPr>
              <m:chr m:val="∑"/>
              <m:limLoc m:val="undOvr"/>
              <m:ctrlPr>
                <w:rPr>
                  <w:rFonts w:ascii="Cambria Math" w:eastAsia="Times New Roman" w:hAnsi="Cambria Math"/>
                  <w:bCs/>
                  <w:i/>
                  <w:sz w:val="20"/>
                  <w:szCs w:val="20"/>
                </w:rPr>
              </m:ctrlPr>
            </m:naryPr>
            <m:sub>
              <m:r>
                <w:rPr>
                  <w:rFonts w:ascii="Cambria Math" w:eastAsia="Times New Roman" w:hAnsi="Cambria Math"/>
                  <w:sz w:val="20"/>
                  <w:szCs w:val="20"/>
                </w:rPr>
                <m:t>g=1</m:t>
              </m:r>
            </m:sub>
            <m:sup>
              <m:r>
                <w:rPr>
                  <w:rFonts w:ascii="Cambria Math" w:eastAsia="Times New Roman" w:hAnsi="Cambria Math"/>
                  <w:sz w:val="20"/>
                  <w:szCs w:val="20"/>
                </w:rPr>
                <m:t>G</m:t>
              </m:r>
            </m:sup>
            <m:e>
              <m:nary>
                <m:naryPr>
                  <m:chr m:val="∑"/>
                  <m:limLoc m:val="undOvr"/>
                  <m:ctrlPr>
                    <w:rPr>
                      <w:rFonts w:ascii="Cambria Math" w:eastAsia="Times New Roman" w:hAnsi="Cambria Math"/>
                      <w:bCs/>
                      <w:i/>
                      <w:sz w:val="20"/>
                      <w:szCs w:val="20"/>
                    </w:rPr>
                  </m:ctrlPr>
                </m:naryPr>
                <m:sub>
                  <m:r>
                    <w:rPr>
                      <w:rFonts w:ascii="Cambria Math" w:eastAsia="Times New Roman" w:hAnsi="Cambria Math"/>
                      <w:sz w:val="20"/>
                      <w:szCs w:val="20"/>
                    </w:rPr>
                    <m:t>i=0</m:t>
                  </m:r>
                </m:sub>
                <m:sup>
                  <m:r>
                    <w:rPr>
                      <w:rFonts w:ascii="Cambria Math" w:eastAsia="Times New Roman" w:hAnsi="Cambria Math"/>
                      <w:sz w:val="20"/>
                      <w:szCs w:val="20"/>
                    </w:rPr>
                    <m:t>I</m:t>
                  </m:r>
                </m:sup>
                <m:e>
                  <m:sSub>
                    <m:sSubPr>
                      <m:ctrlPr>
                        <w:rPr>
                          <w:rFonts w:ascii="Cambria Math" w:eastAsia="Times New Roman" w:hAnsi="Cambria Math"/>
                          <w:bCs/>
                          <w:i/>
                          <w:sz w:val="20"/>
                          <w:szCs w:val="20"/>
                        </w:rPr>
                      </m:ctrlPr>
                    </m:sSubPr>
                    <m:e>
                      <m:r>
                        <w:rPr>
                          <w:rFonts w:ascii="Cambria Math" w:eastAsia="Times New Roman" w:hAnsi="Cambria Math"/>
                          <w:sz w:val="20"/>
                          <w:szCs w:val="20"/>
                        </w:rPr>
                        <m:t>d</m:t>
                      </m:r>
                    </m:e>
                    <m:sub>
                      <m:r>
                        <w:rPr>
                          <w:rFonts w:ascii="Cambria Math" w:eastAsia="Times New Roman" w:hAnsi="Cambria Math"/>
                          <w:sz w:val="20"/>
                          <w:szCs w:val="20"/>
                        </w:rPr>
                        <m:t>aig</m:t>
                      </m:r>
                    </m:sub>
                  </m:sSub>
                  <m:r>
                    <w:rPr>
                      <w:rFonts w:ascii="Cambria Math" w:eastAsia="Times New Roman" w:hAnsi="Cambria Math"/>
                      <w:sz w:val="20"/>
                      <w:szCs w:val="20"/>
                    </w:rPr>
                    <m:t>×</m:t>
                  </m:r>
                  <m:sSub>
                    <m:sSubPr>
                      <m:ctrlPr>
                        <w:rPr>
                          <w:rFonts w:ascii="Cambria Math" w:eastAsia="Times New Roman" w:hAnsi="Cambria Math"/>
                          <w:bCs/>
                          <w:i/>
                          <w:sz w:val="20"/>
                          <w:szCs w:val="20"/>
                        </w:rPr>
                      </m:ctrlPr>
                    </m:sSubPr>
                    <m:e>
                      <m:r>
                        <w:rPr>
                          <w:rFonts w:ascii="Cambria Math" w:eastAsia="Times New Roman" w:hAnsi="Cambria Math"/>
                          <w:sz w:val="20"/>
                          <w:szCs w:val="20"/>
                        </w:rPr>
                        <m:t>e</m:t>
                      </m:r>
                    </m:e>
                    <m:sub>
                      <m:sSub>
                        <m:sSubPr>
                          <m:ctrlPr>
                            <w:rPr>
                              <w:rFonts w:ascii="Cambria Math" w:eastAsia="Times New Roman" w:hAnsi="Cambria Math"/>
                              <w:bCs/>
                              <w:i/>
                              <w:sz w:val="20"/>
                              <w:szCs w:val="20"/>
                            </w:rPr>
                          </m:ctrlPr>
                        </m:sSubPr>
                        <m:e>
                          <m:r>
                            <w:rPr>
                              <w:rFonts w:ascii="Cambria Math" w:eastAsia="Times New Roman" w:hAnsi="Cambria Math"/>
                              <w:sz w:val="20"/>
                              <w:szCs w:val="20"/>
                            </w:rPr>
                            <m:t>s</m:t>
                          </m:r>
                        </m:e>
                        <m:sub>
                          <m:r>
                            <w:rPr>
                              <w:rFonts w:ascii="Cambria Math" w:eastAsia="Times New Roman" w:hAnsi="Cambria Math"/>
                              <w:sz w:val="20"/>
                              <w:szCs w:val="20"/>
                            </w:rPr>
                            <m:t>c</m:t>
                          </m:r>
                        </m:sub>
                      </m:sSub>
                      <m:r>
                        <w:rPr>
                          <w:rFonts w:ascii="Cambria Math" w:eastAsia="Times New Roman" w:hAnsi="Cambria Math"/>
                          <w:sz w:val="20"/>
                          <w:szCs w:val="20"/>
                        </w:rPr>
                        <m:t>ig</m:t>
                      </m:r>
                    </m:sub>
                  </m:sSub>
                  <m:r>
                    <w:rPr>
                      <w:rFonts w:ascii="Cambria Math" w:eastAsia="Times New Roman" w:hAnsi="Cambria Math"/>
                      <w:sz w:val="20"/>
                      <w:szCs w:val="20"/>
                    </w:rPr>
                    <m:t>×</m:t>
                  </m:r>
                  <m:sSub>
                    <m:sSubPr>
                      <m:ctrlPr>
                        <w:rPr>
                          <w:rFonts w:ascii="Cambria Math" w:eastAsia="Times New Roman" w:hAnsi="Cambria Math"/>
                          <w:bCs/>
                          <w:i/>
                          <w:sz w:val="20"/>
                          <w:szCs w:val="20"/>
                        </w:rPr>
                      </m:ctrlPr>
                    </m:sSubPr>
                    <m:e>
                      <m:r>
                        <w:rPr>
                          <w:rFonts w:ascii="Cambria Math" w:eastAsia="Times New Roman" w:hAnsi="Cambria Math"/>
                          <w:sz w:val="20"/>
                          <w:szCs w:val="20"/>
                        </w:rPr>
                        <m:t>p</m:t>
                      </m:r>
                    </m:e>
                    <m:sub>
                      <m:sSub>
                        <m:sSubPr>
                          <m:ctrlPr>
                            <w:rPr>
                              <w:rFonts w:ascii="Cambria Math" w:eastAsia="Times New Roman" w:hAnsi="Cambria Math"/>
                              <w:bCs/>
                              <w:i/>
                              <w:sz w:val="20"/>
                              <w:szCs w:val="20"/>
                            </w:rPr>
                          </m:ctrlPr>
                        </m:sSubPr>
                        <m:e>
                          <m:r>
                            <w:rPr>
                              <w:rFonts w:ascii="Cambria Math" w:eastAsia="Times New Roman" w:hAnsi="Cambria Math"/>
                              <w:sz w:val="20"/>
                              <w:szCs w:val="20"/>
                            </w:rPr>
                            <m:t>s</m:t>
                          </m:r>
                        </m:e>
                        <m:sub>
                          <m:r>
                            <w:rPr>
                              <w:rFonts w:ascii="Cambria Math" w:eastAsia="Times New Roman" w:hAnsi="Cambria Math"/>
                              <w:sz w:val="20"/>
                              <w:szCs w:val="20"/>
                            </w:rPr>
                            <m:t>e</m:t>
                          </m:r>
                        </m:sub>
                      </m:sSub>
                      <m:r>
                        <w:rPr>
                          <w:rFonts w:ascii="Cambria Math" w:eastAsia="Times New Roman" w:hAnsi="Cambria Math"/>
                          <w:sz w:val="20"/>
                          <w:szCs w:val="20"/>
                        </w:rPr>
                        <m:t>0g</m:t>
                      </m:r>
                    </m:sub>
                  </m:sSub>
                </m:e>
              </m:nary>
            </m:e>
          </m:nary>
        </m:oMath>
      </m:oMathPara>
    </w:p>
    <w:p w14:paraId="0D2EADB3" w14:textId="77777777" w:rsidR="003E5D09" w:rsidRPr="0083727E" w:rsidRDefault="003E5D09" w:rsidP="003E5D09">
      <w:pPr>
        <w:jc w:val="center"/>
        <w:rPr>
          <w:rFonts w:eastAsia="Times New Roman"/>
          <w:bCs/>
          <w:sz w:val="20"/>
          <w:szCs w:val="20"/>
        </w:rPr>
      </w:pPr>
    </w:p>
    <w:p w14:paraId="52CA613A" w14:textId="77777777" w:rsidR="003E5D09" w:rsidRDefault="003E5D09" w:rsidP="003E5D09">
      <w:pPr>
        <w:rPr>
          <w:rFonts w:eastAsia="Times New Roman"/>
          <w:bCs/>
          <w:sz w:val="20"/>
          <w:szCs w:val="20"/>
        </w:rPr>
      </w:pPr>
      <w:r>
        <w:rPr>
          <w:rFonts w:eastAsia="Times New Roman"/>
          <w:bCs/>
          <w:sz w:val="20"/>
          <w:szCs w:val="20"/>
        </w:rPr>
        <w:t xml:space="preserve">Let </w:t>
      </w:r>
      <w:r w:rsidRPr="001F5C44">
        <w:rPr>
          <w:rFonts w:eastAsia="Times New Roman"/>
          <w:bCs/>
          <w:i/>
          <w:iCs/>
          <w:sz w:val="20"/>
          <w:szCs w:val="20"/>
        </w:rPr>
        <w:t>a</w:t>
      </w:r>
      <w:r>
        <w:rPr>
          <w:rFonts w:eastAsia="Times New Roman"/>
          <w:bCs/>
          <w:sz w:val="20"/>
          <w:szCs w:val="20"/>
        </w:rPr>
        <w:t xml:space="preserve"> represent antibiotic class, </w:t>
      </w:r>
      <w:proofErr w:type="spellStart"/>
      <w:r w:rsidRPr="001F5C44">
        <w:rPr>
          <w:rFonts w:eastAsia="Times New Roman"/>
          <w:bCs/>
          <w:i/>
          <w:iCs/>
          <w:sz w:val="20"/>
          <w:szCs w:val="20"/>
        </w:rPr>
        <w:t>s</w:t>
      </w:r>
      <w:r w:rsidRPr="001F5C44">
        <w:rPr>
          <w:rFonts w:eastAsia="Times New Roman"/>
          <w:bCs/>
          <w:i/>
          <w:iCs/>
          <w:sz w:val="20"/>
          <w:szCs w:val="20"/>
          <w:vertAlign w:val="subscript"/>
        </w:rPr>
        <w:t>c</w:t>
      </w:r>
      <w:proofErr w:type="spellEnd"/>
      <w:r>
        <w:rPr>
          <w:rFonts w:eastAsia="Times New Roman"/>
          <w:bCs/>
          <w:sz w:val="20"/>
          <w:szCs w:val="20"/>
        </w:rPr>
        <w:t xml:space="preserve"> represent causative species, </w:t>
      </w:r>
      <w:r w:rsidRPr="001F5C44">
        <w:rPr>
          <w:rFonts w:eastAsia="Times New Roman"/>
          <w:bCs/>
          <w:i/>
          <w:iCs/>
          <w:sz w:val="20"/>
          <w:szCs w:val="20"/>
        </w:rPr>
        <w:t>s</w:t>
      </w:r>
      <w:r w:rsidRPr="001F5C44">
        <w:rPr>
          <w:rFonts w:eastAsia="Times New Roman"/>
          <w:bCs/>
          <w:i/>
          <w:iCs/>
          <w:sz w:val="20"/>
          <w:szCs w:val="20"/>
          <w:vertAlign w:val="subscript"/>
        </w:rPr>
        <w:t>e</w:t>
      </w:r>
      <w:r>
        <w:rPr>
          <w:rFonts w:eastAsia="Times New Roman"/>
          <w:bCs/>
          <w:sz w:val="20"/>
          <w:szCs w:val="20"/>
        </w:rPr>
        <w:t xml:space="preserve"> represent exposed species, </w:t>
      </w:r>
      <w:proofErr w:type="spellStart"/>
      <w:r w:rsidRPr="007D2479">
        <w:rPr>
          <w:rFonts w:eastAsia="Times New Roman"/>
          <w:bCs/>
          <w:i/>
          <w:iCs/>
          <w:sz w:val="20"/>
          <w:szCs w:val="20"/>
        </w:rPr>
        <w:t>i</w:t>
      </w:r>
      <w:proofErr w:type="spellEnd"/>
      <w:r>
        <w:rPr>
          <w:rFonts w:eastAsia="Times New Roman"/>
          <w:bCs/>
          <w:sz w:val="20"/>
          <w:szCs w:val="20"/>
        </w:rPr>
        <w:t xml:space="preserve"> represent ICD-9-CM diagnosis code, and </w:t>
      </w:r>
      <w:r w:rsidRPr="003245CE">
        <w:rPr>
          <w:rFonts w:eastAsia="Times New Roman"/>
          <w:bCs/>
          <w:i/>
          <w:iCs/>
          <w:sz w:val="20"/>
          <w:szCs w:val="20"/>
        </w:rPr>
        <w:t>g</w:t>
      </w:r>
      <w:r>
        <w:rPr>
          <w:rFonts w:eastAsia="Times New Roman"/>
          <w:bCs/>
          <w:sz w:val="20"/>
          <w:szCs w:val="20"/>
        </w:rPr>
        <w:t xml:space="preserve"> represent age group (under 1 year, 1-5 years, 6-19 years, 20-64 years, 65 years old and over). Then, </w:t>
      </w:r>
      <m:oMath>
        <m:sSub>
          <m:sSubPr>
            <m:ctrlPr>
              <w:rPr>
                <w:rFonts w:ascii="Cambria Math" w:eastAsia="Times New Roman" w:hAnsi="Cambria Math"/>
                <w:bCs/>
                <w:i/>
                <w:sz w:val="20"/>
                <w:szCs w:val="20"/>
              </w:rPr>
            </m:ctrlPr>
          </m:sSubPr>
          <m:e>
            <m:r>
              <w:rPr>
                <w:rFonts w:ascii="Cambria Math" w:eastAsia="Times New Roman" w:hAnsi="Cambria Math"/>
                <w:sz w:val="20"/>
                <w:szCs w:val="20"/>
              </w:rPr>
              <m:t>d</m:t>
            </m:r>
          </m:e>
          <m:sub>
            <m:r>
              <w:rPr>
                <w:rFonts w:ascii="Cambria Math" w:eastAsia="Times New Roman" w:hAnsi="Cambria Math"/>
                <w:sz w:val="20"/>
                <w:szCs w:val="20"/>
              </w:rPr>
              <m:t>aig</m:t>
            </m:r>
          </m:sub>
        </m:sSub>
      </m:oMath>
      <w:r>
        <w:rPr>
          <w:rFonts w:eastAsia="Times New Roman"/>
          <w:bCs/>
          <w:sz w:val="20"/>
          <w:szCs w:val="20"/>
        </w:rPr>
        <w:t xml:space="preserve"> is the number of prescriptions of antibiotic class </w:t>
      </w:r>
      <w:proofErr w:type="spellStart"/>
      <w:r w:rsidRPr="003245CE">
        <w:rPr>
          <w:rFonts w:eastAsia="Times New Roman"/>
          <w:bCs/>
          <w:i/>
          <w:iCs/>
          <w:sz w:val="20"/>
          <w:szCs w:val="20"/>
        </w:rPr>
        <w:t>a</w:t>
      </w:r>
      <w:proofErr w:type="spellEnd"/>
      <w:r>
        <w:rPr>
          <w:rFonts w:eastAsia="Times New Roman"/>
          <w:bCs/>
          <w:sz w:val="20"/>
          <w:szCs w:val="20"/>
        </w:rPr>
        <w:t xml:space="preserve"> associated with diagnosis code </w:t>
      </w:r>
      <w:proofErr w:type="spellStart"/>
      <w:r w:rsidRPr="003245CE">
        <w:rPr>
          <w:rFonts w:eastAsia="Times New Roman"/>
          <w:bCs/>
          <w:i/>
          <w:iCs/>
          <w:sz w:val="20"/>
          <w:szCs w:val="20"/>
        </w:rPr>
        <w:t>i</w:t>
      </w:r>
      <w:proofErr w:type="spellEnd"/>
      <w:r>
        <w:rPr>
          <w:rFonts w:eastAsia="Times New Roman"/>
          <w:bCs/>
          <w:sz w:val="20"/>
          <w:szCs w:val="20"/>
        </w:rPr>
        <w:t xml:space="preserve"> in age group </w:t>
      </w:r>
      <w:r w:rsidRPr="003245CE">
        <w:rPr>
          <w:rFonts w:eastAsia="Times New Roman"/>
          <w:bCs/>
          <w:i/>
          <w:iCs/>
          <w:sz w:val="20"/>
          <w:szCs w:val="20"/>
        </w:rPr>
        <w:t>g</w:t>
      </w:r>
      <w:r>
        <w:rPr>
          <w:rFonts w:eastAsia="Times New Roman"/>
          <w:bCs/>
          <w:sz w:val="20"/>
          <w:szCs w:val="20"/>
        </w:rPr>
        <w:t xml:space="preserve">, </w:t>
      </w:r>
      <m:oMath>
        <m:sSub>
          <m:sSubPr>
            <m:ctrlPr>
              <w:rPr>
                <w:rFonts w:ascii="Cambria Math" w:eastAsia="Times New Roman" w:hAnsi="Cambria Math"/>
                <w:bCs/>
                <w:i/>
                <w:sz w:val="20"/>
                <w:szCs w:val="20"/>
              </w:rPr>
            </m:ctrlPr>
          </m:sSubPr>
          <m:e>
            <m:r>
              <w:rPr>
                <w:rFonts w:ascii="Cambria Math" w:eastAsia="Times New Roman" w:hAnsi="Cambria Math"/>
                <w:sz w:val="20"/>
                <w:szCs w:val="20"/>
              </w:rPr>
              <m:t>e</m:t>
            </m:r>
          </m:e>
          <m:sub>
            <m:sSub>
              <m:sSubPr>
                <m:ctrlPr>
                  <w:rPr>
                    <w:rFonts w:ascii="Cambria Math" w:eastAsia="Times New Roman" w:hAnsi="Cambria Math"/>
                    <w:bCs/>
                    <w:i/>
                    <w:sz w:val="20"/>
                    <w:szCs w:val="20"/>
                  </w:rPr>
                </m:ctrlPr>
              </m:sSubPr>
              <m:e>
                <m:r>
                  <w:rPr>
                    <w:rFonts w:ascii="Cambria Math" w:eastAsia="Times New Roman" w:hAnsi="Cambria Math"/>
                    <w:sz w:val="20"/>
                    <w:szCs w:val="20"/>
                  </w:rPr>
                  <m:t>s</m:t>
                </m:r>
              </m:e>
              <m:sub>
                <m:r>
                  <w:rPr>
                    <w:rFonts w:ascii="Cambria Math" w:eastAsia="Times New Roman" w:hAnsi="Cambria Math"/>
                    <w:sz w:val="20"/>
                    <w:szCs w:val="20"/>
                  </w:rPr>
                  <m:t>c</m:t>
                </m:r>
              </m:sub>
            </m:sSub>
            <m:r>
              <w:rPr>
                <w:rFonts w:ascii="Cambria Math" w:eastAsia="Times New Roman" w:hAnsi="Cambria Math"/>
                <w:sz w:val="20"/>
                <w:szCs w:val="20"/>
              </w:rPr>
              <m:t>ig</m:t>
            </m:r>
          </m:sub>
        </m:sSub>
      </m:oMath>
      <w:r>
        <w:rPr>
          <w:rFonts w:eastAsia="Times New Roman"/>
          <w:bCs/>
          <w:sz w:val="20"/>
          <w:szCs w:val="20"/>
        </w:rPr>
        <w:t xml:space="preserve"> is the proportion of cases with diagnosis code </w:t>
      </w:r>
      <w:proofErr w:type="spellStart"/>
      <w:r>
        <w:rPr>
          <w:rFonts w:eastAsia="Times New Roman"/>
          <w:bCs/>
          <w:i/>
          <w:iCs/>
          <w:sz w:val="20"/>
          <w:szCs w:val="20"/>
        </w:rPr>
        <w:t>i</w:t>
      </w:r>
      <w:proofErr w:type="spellEnd"/>
      <w:r>
        <w:rPr>
          <w:rFonts w:eastAsia="Times New Roman"/>
          <w:bCs/>
          <w:sz w:val="20"/>
          <w:szCs w:val="20"/>
        </w:rPr>
        <w:t xml:space="preserve"> that are estimated to be caused by causative species </w:t>
      </w:r>
      <w:proofErr w:type="spellStart"/>
      <w:r w:rsidRPr="003136FF">
        <w:rPr>
          <w:rFonts w:eastAsia="Times New Roman"/>
          <w:bCs/>
          <w:i/>
          <w:iCs/>
          <w:sz w:val="20"/>
          <w:szCs w:val="20"/>
        </w:rPr>
        <w:t>s</w:t>
      </w:r>
      <w:r w:rsidRPr="003136FF">
        <w:rPr>
          <w:rFonts w:eastAsia="Times New Roman"/>
          <w:bCs/>
          <w:i/>
          <w:iCs/>
          <w:sz w:val="20"/>
          <w:szCs w:val="20"/>
          <w:vertAlign w:val="subscript"/>
        </w:rPr>
        <w:t>c</w:t>
      </w:r>
      <w:proofErr w:type="spellEnd"/>
      <w:r>
        <w:rPr>
          <w:rFonts w:eastAsia="Times New Roman"/>
          <w:bCs/>
          <w:sz w:val="20"/>
          <w:szCs w:val="20"/>
        </w:rPr>
        <w:t xml:space="preserve"> in age group </w:t>
      </w:r>
      <w:r w:rsidRPr="003136FF">
        <w:rPr>
          <w:rFonts w:eastAsia="Times New Roman"/>
          <w:bCs/>
          <w:i/>
          <w:iCs/>
          <w:sz w:val="20"/>
          <w:szCs w:val="20"/>
        </w:rPr>
        <w:t>g</w:t>
      </w:r>
      <w:r>
        <w:rPr>
          <w:rFonts w:eastAsia="Times New Roman"/>
          <w:bCs/>
          <w:sz w:val="20"/>
          <w:szCs w:val="20"/>
        </w:rPr>
        <w:t xml:space="preserve">, and  </w:t>
      </w:r>
      <m:oMath>
        <m:sSub>
          <m:sSubPr>
            <m:ctrlPr>
              <w:rPr>
                <w:rFonts w:ascii="Cambria Math" w:eastAsia="Times New Roman" w:hAnsi="Cambria Math"/>
                <w:bCs/>
                <w:i/>
                <w:sz w:val="20"/>
                <w:szCs w:val="20"/>
              </w:rPr>
            </m:ctrlPr>
          </m:sSubPr>
          <m:e>
            <m:r>
              <w:rPr>
                <w:rFonts w:ascii="Cambria Math" w:eastAsia="Times New Roman" w:hAnsi="Cambria Math"/>
                <w:sz w:val="20"/>
                <w:szCs w:val="20"/>
              </w:rPr>
              <m:t>p</m:t>
            </m:r>
          </m:e>
          <m:sub>
            <m:sSub>
              <m:sSubPr>
                <m:ctrlPr>
                  <w:rPr>
                    <w:rFonts w:ascii="Cambria Math" w:eastAsia="Times New Roman" w:hAnsi="Cambria Math"/>
                    <w:bCs/>
                    <w:i/>
                    <w:sz w:val="20"/>
                    <w:szCs w:val="20"/>
                  </w:rPr>
                </m:ctrlPr>
              </m:sSubPr>
              <m:e>
                <m:r>
                  <w:rPr>
                    <w:rFonts w:ascii="Cambria Math" w:eastAsia="Times New Roman" w:hAnsi="Cambria Math"/>
                    <w:sz w:val="20"/>
                    <w:szCs w:val="20"/>
                  </w:rPr>
                  <m:t>s</m:t>
                </m:r>
              </m:e>
              <m:sub>
                <m:r>
                  <w:rPr>
                    <w:rFonts w:ascii="Cambria Math" w:eastAsia="Times New Roman" w:hAnsi="Cambria Math"/>
                    <w:sz w:val="20"/>
                    <w:szCs w:val="20"/>
                  </w:rPr>
                  <m:t>e</m:t>
                </m:r>
              </m:sub>
            </m:sSub>
            <m:r>
              <w:rPr>
                <w:rFonts w:ascii="Cambria Math" w:eastAsia="Times New Roman" w:hAnsi="Cambria Math"/>
                <w:sz w:val="20"/>
                <w:szCs w:val="20"/>
              </w:rPr>
              <m:t>0g</m:t>
            </m:r>
          </m:sub>
        </m:sSub>
      </m:oMath>
      <w:r>
        <w:rPr>
          <w:rFonts w:eastAsia="Times New Roman"/>
          <w:bCs/>
          <w:sz w:val="20"/>
          <w:szCs w:val="20"/>
        </w:rPr>
        <w:t xml:space="preserve"> is the healthy carriage prevalence of exposed species </w:t>
      </w:r>
      <w:r w:rsidRPr="00E6312E">
        <w:rPr>
          <w:rFonts w:eastAsia="Times New Roman"/>
          <w:bCs/>
          <w:i/>
          <w:iCs/>
          <w:sz w:val="20"/>
          <w:szCs w:val="20"/>
        </w:rPr>
        <w:t>s</w:t>
      </w:r>
      <w:r w:rsidRPr="00E6312E">
        <w:rPr>
          <w:rFonts w:eastAsia="Times New Roman"/>
          <w:bCs/>
          <w:i/>
          <w:iCs/>
          <w:sz w:val="20"/>
          <w:szCs w:val="20"/>
          <w:vertAlign w:val="subscript"/>
        </w:rPr>
        <w:t>e</w:t>
      </w:r>
      <w:r>
        <w:rPr>
          <w:rFonts w:eastAsia="Times New Roman"/>
          <w:bCs/>
          <w:sz w:val="20"/>
          <w:szCs w:val="20"/>
        </w:rPr>
        <w:t xml:space="preserve"> among individuals in age group </w:t>
      </w:r>
      <w:r w:rsidRPr="00E6312E">
        <w:rPr>
          <w:rFonts w:eastAsia="Times New Roman"/>
          <w:bCs/>
          <w:i/>
          <w:iCs/>
          <w:sz w:val="20"/>
          <w:szCs w:val="20"/>
        </w:rPr>
        <w:t>g</w:t>
      </w:r>
      <w:r>
        <w:rPr>
          <w:rFonts w:eastAsia="Times New Roman"/>
          <w:bCs/>
          <w:sz w:val="20"/>
          <w:szCs w:val="20"/>
        </w:rPr>
        <w:t xml:space="preserve">. </w:t>
      </w:r>
      <w:r w:rsidRPr="00057B48">
        <w:rPr>
          <w:rFonts w:eastAsia="Times New Roman"/>
          <w:bCs/>
          <w:sz w:val="20"/>
          <w:szCs w:val="20"/>
        </w:rPr>
        <w:t>When</w:t>
      </w:r>
      <w:r>
        <w:rPr>
          <w:rFonts w:eastAsia="Times New Roman"/>
          <w:bCs/>
          <w:sz w:val="20"/>
          <w:szCs w:val="20"/>
        </w:rPr>
        <w:t xml:space="preserve"> </w:t>
      </w:r>
      <w:proofErr w:type="spellStart"/>
      <w:r w:rsidRPr="005417CB">
        <w:rPr>
          <w:rFonts w:eastAsia="Times New Roman"/>
          <w:bCs/>
          <w:i/>
          <w:iCs/>
          <w:sz w:val="20"/>
          <w:szCs w:val="20"/>
        </w:rPr>
        <w:t>s</w:t>
      </w:r>
      <w:r w:rsidRPr="005417CB">
        <w:rPr>
          <w:rFonts w:eastAsia="Times New Roman"/>
          <w:bCs/>
          <w:i/>
          <w:iCs/>
          <w:sz w:val="20"/>
          <w:szCs w:val="20"/>
          <w:vertAlign w:val="subscript"/>
        </w:rPr>
        <w:t>c</w:t>
      </w:r>
      <w:proofErr w:type="spellEnd"/>
      <w:r>
        <w:rPr>
          <w:rFonts w:eastAsia="Times New Roman"/>
          <w:bCs/>
          <w:sz w:val="20"/>
          <w:szCs w:val="20"/>
        </w:rPr>
        <w:t xml:space="preserve"> and </w:t>
      </w:r>
      <w:r w:rsidRPr="005417CB">
        <w:rPr>
          <w:rFonts w:eastAsia="Times New Roman"/>
          <w:bCs/>
          <w:i/>
          <w:iCs/>
          <w:sz w:val="20"/>
          <w:szCs w:val="20"/>
        </w:rPr>
        <w:t>s</w:t>
      </w:r>
      <w:r w:rsidRPr="005417CB">
        <w:rPr>
          <w:rFonts w:eastAsia="Times New Roman"/>
          <w:bCs/>
          <w:i/>
          <w:iCs/>
          <w:sz w:val="20"/>
          <w:szCs w:val="20"/>
          <w:vertAlign w:val="subscript"/>
        </w:rPr>
        <w:t>e</w:t>
      </w:r>
      <w:r>
        <w:rPr>
          <w:rFonts w:eastAsia="Times New Roman"/>
          <w:bCs/>
          <w:sz w:val="20"/>
          <w:szCs w:val="20"/>
        </w:rPr>
        <w:t xml:space="preserve"> are the same organism, </w:t>
      </w:r>
      <m:oMath>
        <m:sSub>
          <m:sSubPr>
            <m:ctrlPr>
              <w:rPr>
                <w:rFonts w:ascii="Cambria Math" w:eastAsia="Times New Roman" w:hAnsi="Cambria Math"/>
                <w:bCs/>
                <w:i/>
                <w:sz w:val="20"/>
                <w:szCs w:val="20"/>
              </w:rPr>
            </m:ctrlPr>
          </m:sSubPr>
          <m:e>
            <m:r>
              <w:rPr>
                <w:rFonts w:ascii="Cambria Math" w:eastAsia="Times New Roman" w:hAnsi="Cambria Math"/>
                <w:sz w:val="20"/>
                <w:szCs w:val="20"/>
              </w:rPr>
              <m:t>p</m:t>
            </m:r>
          </m:e>
          <m:sub>
            <m:sSub>
              <m:sSubPr>
                <m:ctrlPr>
                  <w:rPr>
                    <w:rFonts w:ascii="Cambria Math" w:eastAsia="Times New Roman" w:hAnsi="Cambria Math"/>
                    <w:bCs/>
                    <w:i/>
                    <w:sz w:val="20"/>
                    <w:szCs w:val="20"/>
                  </w:rPr>
                </m:ctrlPr>
              </m:sSubPr>
              <m:e>
                <m:r>
                  <w:rPr>
                    <w:rFonts w:ascii="Cambria Math" w:eastAsia="Times New Roman" w:hAnsi="Cambria Math"/>
                    <w:sz w:val="20"/>
                    <w:szCs w:val="20"/>
                  </w:rPr>
                  <m:t>s</m:t>
                </m:r>
              </m:e>
              <m:sub>
                <m:r>
                  <w:rPr>
                    <w:rFonts w:ascii="Cambria Math" w:eastAsia="Times New Roman" w:hAnsi="Cambria Math"/>
                    <w:sz w:val="20"/>
                    <w:szCs w:val="20"/>
                  </w:rPr>
                  <m:t>e</m:t>
                </m:r>
              </m:sub>
            </m:sSub>
            <m:r>
              <w:rPr>
                <w:rFonts w:ascii="Cambria Math" w:eastAsia="Times New Roman" w:hAnsi="Cambria Math"/>
                <w:sz w:val="20"/>
                <w:szCs w:val="20"/>
              </w:rPr>
              <m:t>0g</m:t>
            </m:r>
          </m:sub>
        </m:sSub>
      </m:oMath>
      <w:r>
        <w:rPr>
          <w:rFonts w:eastAsia="Times New Roman"/>
          <w:bCs/>
          <w:sz w:val="20"/>
          <w:szCs w:val="20"/>
        </w:rPr>
        <w:t xml:space="preserve"> is set to 1. For each variable, we use the same data sources and estimation methods described in the main text (NAMCS/NHAMCS 2015, Human Microbiome Project, and published literature).</w:t>
      </w:r>
    </w:p>
    <w:p w14:paraId="3900C690" w14:textId="77777777" w:rsidR="003E5D09" w:rsidRDefault="003E5D09" w:rsidP="003E5D09">
      <w:pPr>
        <w:rPr>
          <w:rFonts w:eastAsia="Times New Roman"/>
          <w:bCs/>
          <w:sz w:val="20"/>
          <w:szCs w:val="20"/>
        </w:rPr>
      </w:pPr>
    </w:p>
    <w:p w14:paraId="6DCE49A4" w14:textId="77777777" w:rsidR="003E5D09" w:rsidRPr="0083727E" w:rsidRDefault="003E5D09" w:rsidP="003E5D09">
      <w:pPr>
        <w:rPr>
          <w:rFonts w:eastAsia="Times New Roman"/>
          <w:bCs/>
          <w:sz w:val="20"/>
          <w:szCs w:val="20"/>
        </w:rPr>
      </w:pPr>
      <w:r w:rsidRPr="0083727E">
        <w:rPr>
          <w:rFonts w:eastAsia="Times New Roman"/>
          <w:bCs/>
          <w:sz w:val="20"/>
          <w:szCs w:val="20"/>
        </w:rPr>
        <w:t xml:space="preserve">The diagonals, shaded in light gray, are “target” antibiotic exposures for the pathogen of interest; in other words, these are antibiotic exposures that the organism experienced because it was causing disease. The “Overall” column is all exposures to the antibiotic class of interest experienced by </w:t>
      </w:r>
      <w:r>
        <w:rPr>
          <w:rFonts w:eastAsia="Times New Roman"/>
          <w:bCs/>
          <w:sz w:val="20"/>
          <w:szCs w:val="20"/>
        </w:rPr>
        <w:t>each</w:t>
      </w:r>
      <w:r w:rsidRPr="0083727E">
        <w:rPr>
          <w:rFonts w:eastAsia="Times New Roman"/>
          <w:bCs/>
          <w:sz w:val="20"/>
          <w:szCs w:val="20"/>
        </w:rPr>
        <w:t xml:space="preserve"> species and is equivalent to </w:t>
      </w:r>
      <w:r w:rsidRPr="0083727E">
        <w:rPr>
          <w:rFonts w:eastAsia="Times New Roman"/>
          <w:bCs/>
          <w:i/>
          <w:iCs/>
          <w:sz w:val="20"/>
          <w:szCs w:val="20"/>
        </w:rPr>
        <w:t>T</w:t>
      </w:r>
      <w:r w:rsidRPr="0083727E">
        <w:rPr>
          <w:rFonts w:eastAsia="Times New Roman"/>
          <w:bCs/>
          <w:i/>
          <w:iCs/>
          <w:sz w:val="20"/>
          <w:szCs w:val="20"/>
          <w:vertAlign w:val="subscript"/>
        </w:rPr>
        <w:t>as</w:t>
      </w:r>
      <w:r w:rsidRPr="0083727E">
        <w:rPr>
          <w:rFonts w:eastAsia="Times New Roman"/>
          <w:bCs/>
          <w:i/>
          <w:iCs/>
          <w:sz w:val="20"/>
          <w:szCs w:val="20"/>
        </w:rPr>
        <w:t xml:space="preserve"> </w:t>
      </w:r>
      <w:r w:rsidRPr="0083727E">
        <w:rPr>
          <w:rFonts w:eastAsia="Times New Roman"/>
          <w:bCs/>
          <w:sz w:val="20"/>
          <w:szCs w:val="20"/>
        </w:rPr>
        <w:t xml:space="preserve">in Equation 1 of the main text. The “Other” column is the difference between the “Overall” column and the sum of the </w:t>
      </w:r>
      <w:r>
        <w:rPr>
          <w:rFonts w:eastAsia="Times New Roman"/>
          <w:bCs/>
          <w:sz w:val="20"/>
          <w:szCs w:val="20"/>
        </w:rPr>
        <w:t>remaining</w:t>
      </w:r>
      <w:r w:rsidRPr="0083727E">
        <w:rPr>
          <w:rFonts w:eastAsia="Times New Roman"/>
          <w:bCs/>
          <w:sz w:val="20"/>
          <w:szCs w:val="20"/>
        </w:rPr>
        <w:t xml:space="preserve"> columns. Note that this column represents exposures due to non-bacterial causes as well as bacterial organisms other than our nine potential pathogens of interest. </w:t>
      </w:r>
    </w:p>
    <w:p w14:paraId="1DEC15C9" w14:textId="77777777" w:rsidR="003E5D09" w:rsidRPr="0083727E" w:rsidRDefault="003E5D09" w:rsidP="003E5D09">
      <w:pPr>
        <w:rPr>
          <w:rFonts w:eastAsia="Times New Roman"/>
          <w:bCs/>
          <w:sz w:val="20"/>
          <w:szCs w:val="20"/>
        </w:rPr>
      </w:pPr>
    </w:p>
    <w:p w14:paraId="050C8794" w14:textId="77777777" w:rsidR="003E5D09" w:rsidRDefault="003E5D09" w:rsidP="003E5D09">
      <w:pPr>
        <w:rPr>
          <w:rFonts w:eastAsia="Times New Roman"/>
          <w:bCs/>
          <w:sz w:val="20"/>
          <w:szCs w:val="20"/>
        </w:rPr>
      </w:pPr>
      <w:r w:rsidRPr="0083727E">
        <w:rPr>
          <w:rFonts w:eastAsia="Times New Roman"/>
          <w:bCs/>
          <w:sz w:val="20"/>
          <w:szCs w:val="20"/>
        </w:rPr>
        <w:t xml:space="preserve">The “Any antibiotic” table includes all prescriptions for drugs classified as antibiotics </w:t>
      </w:r>
      <w:r>
        <w:rPr>
          <w:rFonts w:eastAsia="Times New Roman"/>
          <w:bCs/>
          <w:sz w:val="20"/>
          <w:szCs w:val="20"/>
        </w:rPr>
        <w:t>based on the</w:t>
      </w:r>
      <w:r w:rsidRPr="0083727E">
        <w:rPr>
          <w:rFonts w:eastAsia="Times New Roman"/>
          <w:bCs/>
          <w:sz w:val="20"/>
          <w:szCs w:val="20"/>
        </w:rPr>
        <w:t xml:space="preserve"> </w:t>
      </w:r>
      <w:r w:rsidRPr="0098075F">
        <w:rPr>
          <w:sz w:val="20"/>
          <w:szCs w:val="20"/>
        </w:rPr>
        <w:t>Lexicon Plus</w:t>
      </w:r>
      <w:r w:rsidRPr="0098075F">
        <w:rPr>
          <w:rFonts w:ascii="R" w:hAnsi="R"/>
          <w:sz w:val="20"/>
          <w:szCs w:val="20"/>
        </w:rPr>
        <w:t>®</w:t>
      </w:r>
      <w:r>
        <w:rPr>
          <w:rFonts w:ascii="R" w:hAnsi="R"/>
        </w:rPr>
        <w:t xml:space="preserve"> </w:t>
      </w:r>
      <w:r>
        <w:rPr>
          <w:rFonts w:eastAsia="Times New Roman"/>
          <w:bCs/>
          <w:sz w:val="20"/>
          <w:szCs w:val="20"/>
        </w:rPr>
        <w:t xml:space="preserve">Therapeutic Classification Scheme </w:t>
      </w:r>
      <w:r>
        <w:rPr>
          <w:rFonts w:eastAsia="Times New Roman"/>
          <w:bCs/>
          <w:sz w:val="20"/>
          <w:szCs w:val="20"/>
        </w:rPr>
        <w:fldChar w:fldCharType="begin"/>
      </w:r>
      <w:r>
        <w:rPr>
          <w:rFonts w:eastAsia="Times New Roman"/>
          <w:bCs/>
          <w:sz w:val="20"/>
          <w:szCs w:val="20"/>
        </w:rPr>
        <w:instrText xml:space="preserve"> ADDIN ZOTERO_ITEM CSL_CITATION {"citationID":"t7Hw5Ifa","properties":{"formattedCitation":"({\\i{}Lexicon Plus}, 2008)","plainCitation":"(Lexicon Plus, 2008)","noteIndex":0},"citationItems":[{"id":2694,"uris":["http://zotero.org/users/local/trVziEeF/items/Z3QIGHWI"],"uri":["http://zotero.org/users/local/trVziEeF/items/Z3QIGHWI"],"itemData":{"id":2694,"type":"article","publisher":"Cerner Multum, Inc","title":"Lexicon Plus","URL":"https://www.cerner.com/solutions/drug-database","issued":{"date-parts":[["2008"]]}}}],"schema":"https://github.com/citation-style-language/schema/raw/master/csl-citation.json"} </w:instrText>
      </w:r>
      <w:r>
        <w:rPr>
          <w:rFonts w:eastAsia="Times New Roman"/>
          <w:bCs/>
          <w:sz w:val="20"/>
          <w:szCs w:val="20"/>
        </w:rPr>
        <w:fldChar w:fldCharType="separate"/>
      </w:r>
      <w:r w:rsidRPr="00476BF8">
        <w:rPr>
          <w:sz w:val="20"/>
        </w:rPr>
        <w:t>(</w:t>
      </w:r>
      <w:r w:rsidRPr="00476BF8">
        <w:rPr>
          <w:i/>
          <w:iCs/>
          <w:sz w:val="20"/>
        </w:rPr>
        <w:t>Lexicon Plus</w:t>
      </w:r>
      <w:r w:rsidRPr="00476BF8">
        <w:rPr>
          <w:sz w:val="20"/>
        </w:rPr>
        <w:t>, 2008)</w:t>
      </w:r>
      <w:r>
        <w:rPr>
          <w:rFonts w:eastAsia="Times New Roman"/>
          <w:bCs/>
          <w:sz w:val="20"/>
          <w:szCs w:val="20"/>
        </w:rPr>
        <w:fldChar w:fldCharType="end"/>
      </w:r>
      <w:r w:rsidRPr="0083727E">
        <w:rPr>
          <w:rFonts w:eastAsia="Times New Roman"/>
          <w:bCs/>
          <w:sz w:val="20"/>
          <w:szCs w:val="20"/>
        </w:rPr>
        <w:t xml:space="preserve">. </w:t>
      </w:r>
      <w:r>
        <w:rPr>
          <w:rFonts w:eastAsia="Times New Roman"/>
          <w:bCs/>
          <w:sz w:val="20"/>
          <w:szCs w:val="20"/>
        </w:rPr>
        <w:t>Any drug with a Level 1 description of “anti-infectives”, but with a Level 2 description that was not “amebicides”, “</w:t>
      </w:r>
      <w:proofErr w:type="spellStart"/>
      <w:r>
        <w:rPr>
          <w:rFonts w:eastAsia="Times New Roman"/>
          <w:bCs/>
          <w:sz w:val="20"/>
          <w:szCs w:val="20"/>
        </w:rPr>
        <w:t>antihelmintics</w:t>
      </w:r>
      <w:proofErr w:type="spellEnd"/>
      <w:r>
        <w:rPr>
          <w:rFonts w:eastAsia="Times New Roman"/>
          <w:bCs/>
          <w:sz w:val="20"/>
          <w:szCs w:val="20"/>
        </w:rPr>
        <w:t xml:space="preserve">”, “antifungals”, “antimalarial agents”, or “antiviral agents” was included as an antibiotic. </w:t>
      </w:r>
      <w:r w:rsidRPr="0083727E">
        <w:rPr>
          <w:rFonts w:eastAsia="Times New Roman"/>
          <w:bCs/>
          <w:sz w:val="20"/>
          <w:szCs w:val="20"/>
        </w:rPr>
        <w:t xml:space="preserve">The “Any included antibiotic class” table includes all prescriptions for drugs in the classes shown in the </w:t>
      </w:r>
      <w:r>
        <w:rPr>
          <w:rFonts w:eastAsia="Times New Roman"/>
          <w:bCs/>
          <w:sz w:val="20"/>
          <w:szCs w:val="20"/>
        </w:rPr>
        <w:t xml:space="preserve">following </w:t>
      </w:r>
      <w:r w:rsidRPr="0083727E">
        <w:rPr>
          <w:rFonts w:eastAsia="Times New Roman"/>
          <w:bCs/>
          <w:sz w:val="20"/>
          <w:szCs w:val="20"/>
        </w:rPr>
        <w:t xml:space="preserve">tables. Antibiotic classes were defined </w:t>
      </w:r>
      <w:r>
        <w:rPr>
          <w:rFonts w:eastAsia="Times New Roman"/>
          <w:bCs/>
          <w:sz w:val="20"/>
          <w:szCs w:val="20"/>
        </w:rPr>
        <w:t xml:space="preserve">using the Level 2 categories in </w:t>
      </w:r>
      <w:r w:rsidRPr="0098075F">
        <w:rPr>
          <w:sz w:val="20"/>
          <w:szCs w:val="20"/>
        </w:rPr>
        <w:t>Lexicon Plus</w:t>
      </w:r>
      <w:r w:rsidRPr="0098075F">
        <w:rPr>
          <w:rFonts w:ascii="R" w:hAnsi="R"/>
          <w:sz w:val="20"/>
          <w:szCs w:val="20"/>
        </w:rPr>
        <w:t>®</w:t>
      </w:r>
      <w:r>
        <w:rPr>
          <w:rFonts w:eastAsia="Times New Roman"/>
          <w:bCs/>
          <w:sz w:val="20"/>
          <w:szCs w:val="20"/>
        </w:rPr>
        <w:t>.</w:t>
      </w:r>
    </w:p>
    <w:p w14:paraId="4CB9FE26" w14:textId="77777777" w:rsidR="003E5D09" w:rsidRDefault="003E5D09" w:rsidP="003E5D09">
      <w:pPr>
        <w:rPr>
          <w:rFonts w:eastAsia="Times New Roman"/>
          <w:bCs/>
          <w:sz w:val="20"/>
          <w:szCs w:val="20"/>
        </w:rPr>
      </w:pPr>
    </w:p>
    <w:p w14:paraId="1657D94A" w14:textId="534D151A" w:rsidR="003E5D09" w:rsidRPr="002C0598" w:rsidRDefault="003E5D09" w:rsidP="003E5D09">
      <w:pPr>
        <w:rPr>
          <w:rFonts w:eastAsia="Times New Roman"/>
          <w:bCs/>
          <w:sz w:val="20"/>
          <w:szCs w:val="20"/>
        </w:rPr>
      </w:pPr>
      <w:r w:rsidRPr="002C0598">
        <w:rPr>
          <w:rFonts w:eastAsia="Times New Roman"/>
          <w:bCs/>
          <w:sz w:val="20"/>
          <w:szCs w:val="20"/>
        </w:rPr>
        <w:t xml:space="preserve">These tables </w:t>
      </w:r>
      <w:r>
        <w:rPr>
          <w:rFonts w:eastAsia="Times New Roman"/>
          <w:bCs/>
          <w:sz w:val="20"/>
          <w:szCs w:val="20"/>
        </w:rPr>
        <w:t xml:space="preserve">are designed to facilitate a better understanding of the “nuts and bolts” of this work </w:t>
      </w:r>
      <w:r w:rsidRPr="002C0598">
        <w:rPr>
          <w:rFonts w:eastAsia="Times New Roman"/>
          <w:bCs/>
          <w:sz w:val="20"/>
          <w:szCs w:val="20"/>
        </w:rPr>
        <w:t xml:space="preserve">and </w:t>
      </w:r>
      <w:r>
        <w:rPr>
          <w:rFonts w:eastAsia="Times New Roman"/>
          <w:bCs/>
          <w:sz w:val="20"/>
          <w:szCs w:val="20"/>
        </w:rPr>
        <w:t>to enable calculation of</w:t>
      </w:r>
      <w:r w:rsidRPr="002C0598">
        <w:rPr>
          <w:rFonts w:eastAsia="Times New Roman"/>
          <w:bCs/>
          <w:sz w:val="20"/>
          <w:szCs w:val="20"/>
        </w:rPr>
        <w:t xml:space="preserve"> </w:t>
      </w:r>
      <w:r>
        <w:rPr>
          <w:rFonts w:eastAsia="Times New Roman"/>
          <w:bCs/>
          <w:sz w:val="20"/>
          <w:szCs w:val="20"/>
        </w:rPr>
        <w:t xml:space="preserve">other </w:t>
      </w:r>
      <w:r w:rsidRPr="002C0598">
        <w:rPr>
          <w:rFonts w:eastAsia="Times New Roman"/>
          <w:bCs/>
          <w:sz w:val="20"/>
          <w:szCs w:val="20"/>
        </w:rPr>
        <w:t xml:space="preserve">metrics of interest. For example, the proportion of bystander exposures as calculated by the authors in an earlier paper </w:t>
      </w:r>
      <w:r>
        <w:rPr>
          <w:rFonts w:eastAsia="Times New Roman"/>
          <w:bCs/>
          <w:sz w:val="20"/>
          <w:szCs w:val="20"/>
        </w:rPr>
        <w:fldChar w:fldCharType="begin"/>
      </w:r>
      <w:r>
        <w:rPr>
          <w:rFonts w:eastAsia="Times New Roman"/>
          <w:bCs/>
          <w:sz w:val="20"/>
          <w:szCs w:val="20"/>
        </w:rPr>
        <w:instrText xml:space="preserve"> ADDIN ZOTERO_ITEM CSL_CITATION {"citationID":"SLxjlRqo","properties":{"formattedCitation":"(Tedijanto, Olesen, Grad, &amp; Lipsitch, 2018)","plainCitation":"(Tedijanto, Olesen, Grad, &amp; Lipsitch, 2018)","noteIndex":0},"citationItems":[{"id":2066,"uris":["http://zotero.org/users/local/trVziEeF/items/Y9DV3AJG"],"uri":["http://zotero.org/users/local/trVziEeF/items/Y9DV3AJG"],"itemData":{"id":2066,"type":"article-journal","abstract":"Bystander selection—the selective pressure for resistance exerted by antibiotics on microbes that are not the target pathogen of treatment—is critical to understanding the total impact of broad-spectrum antibiotic use on pathogenic bacterial species that are often carried asymptomatically. However, to our knowledge, this effect has never been quantified. We quantify bystander selection for resistance for a range of clinically relevant antibiotic–species pairs as the proportion of all antibiotic exposures received by a species for conditions in which that species was not the causative pathogen (“proportion of bystander exposures”). Data sources include the 2010–2011 National Ambulatory Medical Care Survey and National Hospital Ambulatory Medical Care Survey, the Human Microbiome Project, and additional carriage and etiological data from existing literature. For outpatient prescribing in the United States, we find that this proportion over all included antibiotic classes is over 80% for eight of nine organisms of interest. Low proportions of bystander exposure are often associated with infrequent bacterial carriage or concentrated prescribing of a particular antibiotic for conditions caused by the species of interest. Applying our results, we roughly estimate that pneumococcal conjugate vaccination programs result in nearly the same proportional reduction in total antibiotic exposures of\n              Streptococcus pneumoniae\n              ,\n              Staphylococcus aureus\n              , and\n              Escherichia coli\n              , despite the latter two organisms not being targeted by the vaccine. These results underscore the importance of considering antibiotic exposures of bystanders, in addition to the target pathogen, in measuring the impact of antibiotic resistance interventions.","container-title":"Proceedings of the National Academy of Sciences","DOI":"10.1073/pnas.1810840115","ISSN":"0027-8424, 1091-6490","issue":"51","journalAbbreviation":"Proc Natl Acad Sci USA","language":"en","page":"E11988-E11995","source":"DOI.org (Crossref)","title":"Estimating the proportion of bystander selection for antibiotic resistance among potentially pathogenic bacterial flora","volume":"115","author":[{"family":"Tedijanto","given":"Christine"},{"family":"Olesen","given":"Scott W."},{"family":"Grad","given":"Yonatan H."},{"family":"Lipsitch","given":"Marc"}],"issued":{"date-parts":[["2018",12,18]]}}}],"schema":"https://github.com/citation-style-language/schema/raw/master/csl-citation.json"} </w:instrText>
      </w:r>
      <w:r>
        <w:rPr>
          <w:rFonts w:eastAsia="Times New Roman"/>
          <w:bCs/>
          <w:sz w:val="20"/>
          <w:szCs w:val="20"/>
        </w:rPr>
        <w:fldChar w:fldCharType="separate"/>
      </w:r>
      <w:r>
        <w:rPr>
          <w:rFonts w:eastAsia="Times New Roman"/>
          <w:bCs/>
          <w:noProof/>
          <w:sz w:val="20"/>
          <w:szCs w:val="20"/>
        </w:rPr>
        <w:t>(Tedijanto, Olesen, Grad, &amp; Lipsitch, 2018)</w:t>
      </w:r>
      <w:r>
        <w:rPr>
          <w:rFonts w:eastAsia="Times New Roman"/>
          <w:bCs/>
          <w:sz w:val="20"/>
          <w:szCs w:val="20"/>
        </w:rPr>
        <w:fldChar w:fldCharType="end"/>
      </w:r>
      <w:r w:rsidRPr="002C0598">
        <w:rPr>
          <w:rFonts w:eastAsia="Times New Roman"/>
          <w:bCs/>
          <w:sz w:val="20"/>
          <w:szCs w:val="20"/>
        </w:rPr>
        <w:t xml:space="preserve"> for any given antibiotic and species pair can be calculated as one minus the target exposures (diagonal value) over the “Overall” value. These </w:t>
      </w:r>
      <w:r>
        <w:rPr>
          <w:rFonts w:eastAsia="Times New Roman"/>
          <w:bCs/>
          <w:sz w:val="20"/>
          <w:szCs w:val="20"/>
        </w:rPr>
        <w:t>tables</w:t>
      </w:r>
      <w:r w:rsidRPr="002C0598">
        <w:rPr>
          <w:rFonts w:eastAsia="Times New Roman"/>
          <w:bCs/>
          <w:sz w:val="20"/>
          <w:szCs w:val="20"/>
        </w:rPr>
        <w:t xml:space="preserve"> can also be used to understand how interventions focused on a single species (e.g. vaccines) may reduce antibiotic exposures </w:t>
      </w:r>
      <w:r>
        <w:rPr>
          <w:rFonts w:eastAsia="Times New Roman"/>
          <w:bCs/>
          <w:sz w:val="20"/>
          <w:szCs w:val="20"/>
        </w:rPr>
        <w:t>experienced by</w:t>
      </w:r>
      <w:r w:rsidRPr="002C0598">
        <w:rPr>
          <w:rFonts w:eastAsia="Times New Roman"/>
          <w:bCs/>
          <w:sz w:val="20"/>
          <w:szCs w:val="20"/>
        </w:rPr>
        <w:t xml:space="preserve"> another species.</w:t>
      </w:r>
    </w:p>
    <w:p w14:paraId="4337AB6C" w14:textId="77777777" w:rsidR="003E5D09" w:rsidRDefault="003E5D09" w:rsidP="003E5D09">
      <w:pPr>
        <w:rPr>
          <w:rFonts w:eastAsia="Times New Roman"/>
          <w:bCs/>
          <w:sz w:val="24"/>
          <w:szCs w:val="24"/>
        </w:rPr>
      </w:pPr>
    </w:p>
    <w:p w14:paraId="49B82946" w14:textId="77777777" w:rsidR="003E5D09" w:rsidRPr="003848AC" w:rsidRDefault="003E5D09" w:rsidP="003E5D09">
      <w:pPr>
        <w:jc w:val="center"/>
        <w:rPr>
          <w:rFonts w:eastAsia="Times New Roman"/>
          <w:bCs/>
          <w:sz w:val="24"/>
          <w:szCs w:val="24"/>
        </w:rPr>
      </w:pPr>
    </w:p>
    <w:p w14:paraId="39143081" w14:textId="77777777" w:rsidR="003E5D09" w:rsidRDefault="003E5D09" w:rsidP="003E5D09">
      <w:pPr>
        <w:jc w:val="center"/>
        <w:rPr>
          <w:rFonts w:eastAsia="Times New Roman"/>
          <w:b/>
          <w:sz w:val="24"/>
          <w:szCs w:val="24"/>
        </w:rPr>
      </w:pPr>
      <w:r>
        <w:rPr>
          <w:rFonts w:eastAsia="Times New Roman"/>
          <w:b/>
          <w:sz w:val="24"/>
          <w:szCs w:val="24"/>
        </w:rPr>
        <w:br w:type="page"/>
      </w:r>
      <w:r>
        <w:rPr>
          <w:rFonts w:eastAsia="Times New Roman"/>
          <w:b/>
          <w:noProof/>
          <w:sz w:val="24"/>
          <w:szCs w:val="24"/>
        </w:rPr>
        <w:lastRenderedPageBreak/>
        <w:drawing>
          <wp:inline distT="0" distB="0" distL="0" distR="0" wp14:anchorId="7E4F20AD" wp14:editId="3CA58110">
            <wp:extent cx="5029200" cy="2514600"/>
            <wp:effectExtent l="0" t="0" r="0" b="0"/>
            <wp:docPr id="28" name="Picture 28" descr="A display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0.01.06 anyab _SDF3.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029200" cy="2514600"/>
                    </a:xfrm>
                    <a:prstGeom prst="rect">
                      <a:avLst/>
                    </a:prstGeom>
                  </pic:spPr>
                </pic:pic>
              </a:graphicData>
            </a:graphic>
          </wp:inline>
        </w:drawing>
      </w:r>
    </w:p>
    <w:p w14:paraId="5695A90B" w14:textId="77777777" w:rsidR="003E5D09" w:rsidRDefault="003E5D09" w:rsidP="003E5D09">
      <w:pPr>
        <w:jc w:val="center"/>
        <w:rPr>
          <w:rFonts w:eastAsia="Times New Roman"/>
          <w:b/>
          <w:sz w:val="24"/>
          <w:szCs w:val="24"/>
        </w:rPr>
      </w:pPr>
    </w:p>
    <w:p w14:paraId="4682DF37" w14:textId="77777777" w:rsidR="003E5D09" w:rsidRDefault="003E5D09" w:rsidP="003E5D09">
      <w:pPr>
        <w:jc w:val="center"/>
        <w:rPr>
          <w:rFonts w:eastAsia="Times New Roman"/>
          <w:b/>
          <w:sz w:val="24"/>
          <w:szCs w:val="24"/>
        </w:rPr>
      </w:pPr>
      <w:r>
        <w:rPr>
          <w:rFonts w:eastAsia="Times New Roman"/>
          <w:b/>
          <w:noProof/>
          <w:sz w:val="24"/>
          <w:szCs w:val="24"/>
        </w:rPr>
        <w:drawing>
          <wp:inline distT="0" distB="0" distL="0" distR="0" wp14:anchorId="3455122A" wp14:editId="3EA69672">
            <wp:extent cx="5029200" cy="2514600"/>
            <wp:effectExtent l="0" t="0" r="0" b="0"/>
            <wp:docPr id="37" name="Picture 37" descr="A display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0.01.06 inclab _SDF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29200" cy="2514600"/>
                    </a:xfrm>
                    <a:prstGeom prst="rect">
                      <a:avLst/>
                    </a:prstGeom>
                  </pic:spPr>
                </pic:pic>
              </a:graphicData>
            </a:graphic>
          </wp:inline>
        </w:drawing>
      </w:r>
    </w:p>
    <w:p w14:paraId="25BA211E" w14:textId="77777777" w:rsidR="003E5D09" w:rsidRDefault="003E5D09" w:rsidP="003E5D09">
      <w:pPr>
        <w:jc w:val="center"/>
        <w:rPr>
          <w:rFonts w:eastAsia="Times New Roman"/>
          <w:b/>
          <w:sz w:val="24"/>
          <w:szCs w:val="24"/>
        </w:rPr>
      </w:pPr>
    </w:p>
    <w:p w14:paraId="70953118" w14:textId="77777777" w:rsidR="003E5D09" w:rsidRDefault="003E5D09" w:rsidP="003E5D09">
      <w:pPr>
        <w:jc w:val="center"/>
        <w:rPr>
          <w:rFonts w:eastAsia="Times New Roman"/>
          <w:b/>
          <w:sz w:val="24"/>
          <w:szCs w:val="24"/>
        </w:rPr>
      </w:pPr>
      <w:r>
        <w:rPr>
          <w:rFonts w:eastAsia="Times New Roman"/>
          <w:b/>
          <w:noProof/>
          <w:sz w:val="24"/>
          <w:szCs w:val="24"/>
        </w:rPr>
        <w:drawing>
          <wp:inline distT="0" distB="0" distL="0" distR="0" wp14:anchorId="17E66E4E" wp14:editId="7E226679">
            <wp:extent cx="5029200" cy="2514600"/>
            <wp:effectExtent l="0" t="0" r="0" b="0"/>
            <wp:docPr id="38" name="Picture 38"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20.01.06 PENICILLINS _SDF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29200" cy="2514600"/>
                    </a:xfrm>
                    <a:prstGeom prst="rect">
                      <a:avLst/>
                    </a:prstGeom>
                  </pic:spPr>
                </pic:pic>
              </a:graphicData>
            </a:graphic>
          </wp:inline>
        </w:drawing>
      </w:r>
    </w:p>
    <w:p w14:paraId="26896493" w14:textId="77777777" w:rsidR="003E5D09" w:rsidRDefault="003E5D09" w:rsidP="003E5D09">
      <w:pPr>
        <w:jc w:val="center"/>
        <w:rPr>
          <w:rFonts w:eastAsia="Times New Roman"/>
          <w:b/>
          <w:sz w:val="24"/>
          <w:szCs w:val="24"/>
        </w:rPr>
      </w:pPr>
      <w:r>
        <w:rPr>
          <w:rFonts w:eastAsia="Times New Roman"/>
          <w:b/>
          <w:noProof/>
          <w:sz w:val="24"/>
          <w:szCs w:val="24"/>
        </w:rPr>
        <w:lastRenderedPageBreak/>
        <w:drawing>
          <wp:inline distT="0" distB="0" distL="0" distR="0" wp14:anchorId="08C21C62" wp14:editId="19C788C9">
            <wp:extent cx="5029200" cy="2514600"/>
            <wp:effectExtent l="0" t="0" r="0" b="0"/>
            <wp:docPr id="39" name="Picture 39"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20.01.06 MACROLIDES _SDF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29200" cy="2514600"/>
                    </a:xfrm>
                    <a:prstGeom prst="rect">
                      <a:avLst/>
                    </a:prstGeom>
                  </pic:spPr>
                </pic:pic>
              </a:graphicData>
            </a:graphic>
          </wp:inline>
        </w:drawing>
      </w:r>
    </w:p>
    <w:p w14:paraId="7FE422CE" w14:textId="77777777" w:rsidR="003E5D09" w:rsidRDefault="003E5D09" w:rsidP="003E5D09">
      <w:pPr>
        <w:jc w:val="center"/>
        <w:rPr>
          <w:rFonts w:eastAsia="Times New Roman"/>
          <w:b/>
          <w:sz w:val="24"/>
          <w:szCs w:val="24"/>
        </w:rPr>
      </w:pPr>
    </w:p>
    <w:p w14:paraId="6E183D02" w14:textId="77777777" w:rsidR="003E5D09" w:rsidRDefault="003E5D09" w:rsidP="003E5D09">
      <w:pPr>
        <w:jc w:val="center"/>
        <w:rPr>
          <w:rFonts w:eastAsia="Times New Roman"/>
          <w:b/>
          <w:sz w:val="24"/>
          <w:szCs w:val="24"/>
        </w:rPr>
      </w:pPr>
      <w:r>
        <w:rPr>
          <w:rFonts w:eastAsia="Times New Roman"/>
          <w:b/>
          <w:noProof/>
          <w:sz w:val="24"/>
          <w:szCs w:val="24"/>
        </w:rPr>
        <w:drawing>
          <wp:inline distT="0" distB="0" distL="0" distR="0" wp14:anchorId="16D74ECE" wp14:editId="5CF6E8C3">
            <wp:extent cx="5029200" cy="2514600"/>
            <wp:effectExtent l="0" t="0" r="0" b="0"/>
            <wp:docPr id="40" name="Picture 40"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20.01.06 QUINOLONES _SDF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9200" cy="2514600"/>
                    </a:xfrm>
                    <a:prstGeom prst="rect">
                      <a:avLst/>
                    </a:prstGeom>
                  </pic:spPr>
                </pic:pic>
              </a:graphicData>
            </a:graphic>
          </wp:inline>
        </w:drawing>
      </w:r>
    </w:p>
    <w:p w14:paraId="32E95F74" w14:textId="77777777" w:rsidR="003E5D09" w:rsidRDefault="003E5D09" w:rsidP="003E5D09">
      <w:pPr>
        <w:jc w:val="center"/>
        <w:rPr>
          <w:rFonts w:eastAsia="Times New Roman"/>
          <w:b/>
          <w:sz w:val="24"/>
          <w:szCs w:val="24"/>
        </w:rPr>
      </w:pPr>
    </w:p>
    <w:p w14:paraId="3DFFA402" w14:textId="77777777" w:rsidR="003E5D09" w:rsidRDefault="003E5D09" w:rsidP="003E5D09">
      <w:pPr>
        <w:jc w:val="center"/>
        <w:rPr>
          <w:rFonts w:eastAsia="Times New Roman"/>
          <w:b/>
          <w:sz w:val="24"/>
          <w:szCs w:val="24"/>
        </w:rPr>
      </w:pPr>
      <w:r>
        <w:rPr>
          <w:rFonts w:eastAsia="Times New Roman"/>
          <w:b/>
          <w:noProof/>
          <w:sz w:val="24"/>
          <w:szCs w:val="24"/>
        </w:rPr>
        <w:drawing>
          <wp:inline distT="0" distB="0" distL="0" distR="0" wp14:anchorId="074C55F6" wp14:editId="168A7F08">
            <wp:extent cx="5029200" cy="2514600"/>
            <wp:effectExtent l="0" t="0" r="0" b="0"/>
            <wp:docPr id="29" name="Picture 29"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0.01.06 CEPHALOSPORINS _SDF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29200" cy="2514600"/>
                    </a:xfrm>
                    <a:prstGeom prst="rect">
                      <a:avLst/>
                    </a:prstGeom>
                  </pic:spPr>
                </pic:pic>
              </a:graphicData>
            </a:graphic>
          </wp:inline>
        </w:drawing>
      </w:r>
    </w:p>
    <w:p w14:paraId="1343A36A" w14:textId="77777777" w:rsidR="003E5D09" w:rsidRDefault="003E5D09" w:rsidP="003E5D09">
      <w:pPr>
        <w:jc w:val="center"/>
        <w:rPr>
          <w:rFonts w:eastAsia="Times New Roman"/>
          <w:b/>
          <w:sz w:val="24"/>
          <w:szCs w:val="24"/>
        </w:rPr>
      </w:pPr>
      <w:r>
        <w:rPr>
          <w:rFonts w:eastAsia="Times New Roman"/>
          <w:b/>
          <w:noProof/>
          <w:sz w:val="24"/>
          <w:szCs w:val="24"/>
        </w:rPr>
        <w:lastRenderedPageBreak/>
        <w:drawing>
          <wp:inline distT="0" distB="0" distL="0" distR="0" wp14:anchorId="5A382661" wp14:editId="3725343A">
            <wp:extent cx="5029200" cy="2514600"/>
            <wp:effectExtent l="0" t="0" r="0" b="0"/>
            <wp:docPr id="41" name="Picture 41" descr="A square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20.01.06 TETRACYCLINES _SDF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29200" cy="2514600"/>
                    </a:xfrm>
                    <a:prstGeom prst="rect">
                      <a:avLst/>
                    </a:prstGeom>
                  </pic:spPr>
                </pic:pic>
              </a:graphicData>
            </a:graphic>
          </wp:inline>
        </w:drawing>
      </w:r>
    </w:p>
    <w:p w14:paraId="24E0E650" w14:textId="77777777" w:rsidR="003E5D09" w:rsidRDefault="003E5D09" w:rsidP="003E5D09">
      <w:pPr>
        <w:jc w:val="center"/>
        <w:rPr>
          <w:rFonts w:eastAsia="Times New Roman"/>
          <w:b/>
          <w:sz w:val="24"/>
          <w:szCs w:val="24"/>
        </w:rPr>
      </w:pPr>
    </w:p>
    <w:p w14:paraId="62F04581" w14:textId="77777777" w:rsidR="003E5D09" w:rsidRDefault="003E5D09" w:rsidP="003E5D09">
      <w:pPr>
        <w:jc w:val="center"/>
        <w:rPr>
          <w:rFonts w:eastAsia="Times New Roman"/>
          <w:b/>
          <w:sz w:val="24"/>
          <w:szCs w:val="24"/>
        </w:rPr>
      </w:pPr>
      <w:r>
        <w:rPr>
          <w:rFonts w:eastAsia="Times New Roman"/>
          <w:b/>
          <w:noProof/>
          <w:sz w:val="24"/>
          <w:szCs w:val="24"/>
        </w:rPr>
        <w:drawing>
          <wp:inline distT="0" distB="0" distL="0" distR="0" wp14:anchorId="29515882" wp14:editId="30BD38FC">
            <wp:extent cx="5029200" cy="2514600"/>
            <wp:effectExtent l="0" t="0" r="0" b="0"/>
            <wp:docPr id="42" name="Picture 42"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20.01.06 SULFAMETHOXAZOLE-TRIMETHOPRIM _SDF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0" cy="2514600"/>
                    </a:xfrm>
                    <a:prstGeom prst="rect">
                      <a:avLst/>
                    </a:prstGeom>
                  </pic:spPr>
                </pic:pic>
              </a:graphicData>
            </a:graphic>
          </wp:inline>
        </w:drawing>
      </w:r>
    </w:p>
    <w:p w14:paraId="36A759C7" w14:textId="77777777" w:rsidR="003E5D09" w:rsidRDefault="003E5D09" w:rsidP="003E5D09">
      <w:pPr>
        <w:jc w:val="center"/>
        <w:rPr>
          <w:rFonts w:eastAsia="Times New Roman"/>
          <w:b/>
          <w:sz w:val="24"/>
          <w:szCs w:val="24"/>
        </w:rPr>
      </w:pPr>
    </w:p>
    <w:p w14:paraId="4D2C010E" w14:textId="77777777" w:rsidR="003E5D09" w:rsidRDefault="003E5D09" w:rsidP="003E5D09">
      <w:pPr>
        <w:jc w:val="center"/>
        <w:rPr>
          <w:rFonts w:eastAsia="Times New Roman"/>
          <w:b/>
          <w:sz w:val="24"/>
          <w:szCs w:val="24"/>
        </w:rPr>
      </w:pPr>
      <w:r>
        <w:rPr>
          <w:rFonts w:eastAsia="Times New Roman"/>
          <w:b/>
          <w:noProof/>
          <w:sz w:val="24"/>
          <w:szCs w:val="24"/>
        </w:rPr>
        <w:drawing>
          <wp:inline distT="0" distB="0" distL="0" distR="0" wp14:anchorId="663FF981" wp14:editId="3F53C186">
            <wp:extent cx="5029200" cy="2514600"/>
            <wp:effectExtent l="0" t="0" r="0" b="0"/>
            <wp:docPr id="32" name="Picture 32"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20.01.06 NITROFURANTOIN _SDF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29200" cy="2514600"/>
                    </a:xfrm>
                    <a:prstGeom prst="rect">
                      <a:avLst/>
                    </a:prstGeom>
                  </pic:spPr>
                </pic:pic>
              </a:graphicData>
            </a:graphic>
          </wp:inline>
        </w:drawing>
      </w:r>
    </w:p>
    <w:p w14:paraId="2C316727" w14:textId="77777777" w:rsidR="003E5D09" w:rsidRDefault="003E5D09" w:rsidP="003E5D09">
      <w:pPr>
        <w:rPr>
          <w:rFonts w:eastAsia="Times New Roman"/>
          <w:b/>
          <w:sz w:val="24"/>
          <w:szCs w:val="24"/>
        </w:rPr>
      </w:pPr>
      <w:r>
        <w:rPr>
          <w:rFonts w:eastAsia="Times New Roman"/>
          <w:b/>
          <w:sz w:val="24"/>
          <w:szCs w:val="24"/>
        </w:rPr>
        <w:br w:type="page"/>
      </w:r>
      <w:bookmarkStart w:id="0" w:name="_GoBack"/>
      <w:bookmarkEnd w:id="0"/>
    </w:p>
    <w:p w14:paraId="31289CDF" w14:textId="13BD5C03" w:rsidR="00EB60F5" w:rsidRPr="003E5D09" w:rsidRDefault="003E5D09">
      <w:pPr>
        <w:rPr>
          <w:b/>
          <w:bCs/>
          <w:sz w:val="24"/>
          <w:szCs w:val="24"/>
        </w:rPr>
      </w:pPr>
      <w:r w:rsidRPr="003E5D09">
        <w:rPr>
          <w:b/>
          <w:bCs/>
          <w:sz w:val="24"/>
          <w:szCs w:val="24"/>
        </w:rPr>
        <w:lastRenderedPageBreak/>
        <w:t>References</w:t>
      </w:r>
    </w:p>
    <w:p w14:paraId="76BE1A7D" w14:textId="77777777" w:rsidR="003E5D09" w:rsidRDefault="003E5D09" w:rsidP="003E5D09">
      <w:pPr>
        <w:pStyle w:val="Bibliography"/>
        <w:rPr>
          <w:sz w:val="20"/>
          <w:szCs w:val="20"/>
        </w:rPr>
      </w:pPr>
    </w:p>
    <w:p w14:paraId="7D311FBF" w14:textId="7B3D38EF" w:rsidR="003E5D09" w:rsidRPr="003E5D09" w:rsidRDefault="003E5D09" w:rsidP="003E5D09">
      <w:pPr>
        <w:pStyle w:val="Bibliography"/>
        <w:rPr>
          <w:sz w:val="20"/>
          <w:szCs w:val="20"/>
        </w:rPr>
      </w:pPr>
      <w:r w:rsidRPr="003E5D09">
        <w:rPr>
          <w:sz w:val="20"/>
          <w:szCs w:val="20"/>
        </w:rPr>
        <w:fldChar w:fldCharType="begin"/>
      </w:r>
      <w:r w:rsidRPr="003E5D09">
        <w:rPr>
          <w:sz w:val="20"/>
          <w:szCs w:val="20"/>
        </w:rPr>
        <w:instrText xml:space="preserve"> ADDIN ZOTERO_BIBL {"uncited":[],"omitted":[],"custom":[]} CSL_BIBLIOGRAPHY </w:instrText>
      </w:r>
      <w:r w:rsidRPr="003E5D09">
        <w:rPr>
          <w:sz w:val="20"/>
          <w:szCs w:val="20"/>
        </w:rPr>
        <w:fldChar w:fldCharType="separate"/>
      </w:r>
      <w:r w:rsidRPr="003E5D09">
        <w:rPr>
          <w:i/>
          <w:iCs/>
          <w:sz w:val="20"/>
          <w:szCs w:val="20"/>
        </w:rPr>
        <w:t>Lexicon Plus</w:t>
      </w:r>
      <w:r w:rsidRPr="003E5D09">
        <w:rPr>
          <w:sz w:val="20"/>
          <w:szCs w:val="20"/>
        </w:rPr>
        <w:t>. (2008). Retrieved from https://www.cerner.com/solutions/drug-database</w:t>
      </w:r>
    </w:p>
    <w:p w14:paraId="609BF0AD" w14:textId="77777777" w:rsidR="003E5D09" w:rsidRPr="003E5D09" w:rsidRDefault="003E5D09" w:rsidP="003E5D09">
      <w:pPr>
        <w:pStyle w:val="Bibliography"/>
        <w:rPr>
          <w:sz w:val="20"/>
          <w:szCs w:val="20"/>
        </w:rPr>
      </w:pPr>
      <w:r w:rsidRPr="003E5D09">
        <w:rPr>
          <w:sz w:val="20"/>
          <w:szCs w:val="20"/>
        </w:rPr>
        <w:t xml:space="preserve">Tedijanto, C., Olesen, S. W., Grad, Y. H., &amp; </w:t>
      </w:r>
      <w:proofErr w:type="spellStart"/>
      <w:r w:rsidRPr="003E5D09">
        <w:rPr>
          <w:sz w:val="20"/>
          <w:szCs w:val="20"/>
        </w:rPr>
        <w:t>Lipsitch</w:t>
      </w:r>
      <w:proofErr w:type="spellEnd"/>
      <w:r w:rsidRPr="003E5D09">
        <w:rPr>
          <w:sz w:val="20"/>
          <w:szCs w:val="20"/>
        </w:rPr>
        <w:t xml:space="preserve">, M. (2018). Estimating the proportion of bystander selection for antibiotic resistance among potentially pathogenic bacterial flora. </w:t>
      </w:r>
      <w:r w:rsidRPr="003E5D09">
        <w:rPr>
          <w:i/>
          <w:iCs/>
          <w:sz w:val="20"/>
          <w:szCs w:val="20"/>
        </w:rPr>
        <w:t>Proceedings of the National Academy of Sciences</w:t>
      </w:r>
      <w:r w:rsidRPr="003E5D09">
        <w:rPr>
          <w:sz w:val="20"/>
          <w:szCs w:val="20"/>
        </w:rPr>
        <w:t xml:space="preserve">, </w:t>
      </w:r>
      <w:r w:rsidRPr="003E5D09">
        <w:rPr>
          <w:i/>
          <w:iCs/>
          <w:sz w:val="20"/>
          <w:szCs w:val="20"/>
        </w:rPr>
        <w:t>115</w:t>
      </w:r>
      <w:r w:rsidRPr="003E5D09">
        <w:rPr>
          <w:sz w:val="20"/>
          <w:szCs w:val="20"/>
        </w:rPr>
        <w:t>(51), E11988–E11995. https://doi.org/10.1073/pnas.1810840115</w:t>
      </w:r>
    </w:p>
    <w:p w14:paraId="627F957C" w14:textId="43E493BF" w:rsidR="003E5D09" w:rsidRPr="003E5D09" w:rsidRDefault="003E5D09">
      <w:r w:rsidRPr="003E5D09">
        <w:rPr>
          <w:sz w:val="20"/>
          <w:szCs w:val="20"/>
        </w:rPr>
        <w:fldChar w:fldCharType="end"/>
      </w:r>
    </w:p>
    <w:sectPr w:rsidR="003E5D09" w:rsidRPr="003E5D09" w:rsidSect="00F607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D09"/>
    <w:rsid w:val="00001730"/>
    <w:rsid w:val="00001FD9"/>
    <w:rsid w:val="000147DB"/>
    <w:rsid w:val="0001662F"/>
    <w:rsid w:val="000204E1"/>
    <w:rsid w:val="00042999"/>
    <w:rsid w:val="00084292"/>
    <w:rsid w:val="00085A24"/>
    <w:rsid w:val="00096841"/>
    <w:rsid w:val="000D6F5D"/>
    <w:rsid w:val="000F5B01"/>
    <w:rsid w:val="00111462"/>
    <w:rsid w:val="0012267C"/>
    <w:rsid w:val="00130760"/>
    <w:rsid w:val="00131AC2"/>
    <w:rsid w:val="00156191"/>
    <w:rsid w:val="00170362"/>
    <w:rsid w:val="00182998"/>
    <w:rsid w:val="001C4F1D"/>
    <w:rsid w:val="001F5110"/>
    <w:rsid w:val="00200041"/>
    <w:rsid w:val="002020F9"/>
    <w:rsid w:val="00234DD5"/>
    <w:rsid w:val="00242346"/>
    <w:rsid w:val="002704A6"/>
    <w:rsid w:val="002752A0"/>
    <w:rsid w:val="00283969"/>
    <w:rsid w:val="00287541"/>
    <w:rsid w:val="002B16D6"/>
    <w:rsid w:val="002B4DF4"/>
    <w:rsid w:val="002C5453"/>
    <w:rsid w:val="002D7FC4"/>
    <w:rsid w:val="003337AE"/>
    <w:rsid w:val="003466FE"/>
    <w:rsid w:val="00350B52"/>
    <w:rsid w:val="00361B3A"/>
    <w:rsid w:val="00366A36"/>
    <w:rsid w:val="0037629F"/>
    <w:rsid w:val="00386098"/>
    <w:rsid w:val="003A11CE"/>
    <w:rsid w:val="003B14C3"/>
    <w:rsid w:val="003B3DE4"/>
    <w:rsid w:val="003C5E89"/>
    <w:rsid w:val="003E5D09"/>
    <w:rsid w:val="003F2744"/>
    <w:rsid w:val="00404800"/>
    <w:rsid w:val="004127F2"/>
    <w:rsid w:val="0044480C"/>
    <w:rsid w:val="00484AFB"/>
    <w:rsid w:val="00490D67"/>
    <w:rsid w:val="0049440D"/>
    <w:rsid w:val="004A481C"/>
    <w:rsid w:val="004B4DEC"/>
    <w:rsid w:val="004F4D3A"/>
    <w:rsid w:val="00517B55"/>
    <w:rsid w:val="00527858"/>
    <w:rsid w:val="0053051C"/>
    <w:rsid w:val="00530A71"/>
    <w:rsid w:val="00551F53"/>
    <w:rsid w:val="00561C32"/>
    <w:rsid w:val="005714A3"/>
    <w:rsid w:val="00580294"/>
    <w:rsid w:val="005830AD"/>
    <w:rsid w:val="005B3729"/>
    <w:rsid w:val="00602898"/>
    <w:rsid w:val="00606D73"/>
    <w:rsid w:val="00627A42"/>
    <w:rsid w:val="0064220B"/>
    <w:rsid w:val="00653C8B"/>
    <w:rsid w:val="0067313E"/>
    <w:rsid w:val="00676B35"/>
    <w:rsid w:val="006823ED"/>
    <w:rsid w:val="00682C65"/>
    <w:rsid w:val="00691964"/>
    <w:rsid w:val="006A1718"/>
    <w:rsid w:val="006A1724"/>
    <w:rsid w:val="006A7578"/>
    <w:rsid w:val="006B554C"/>
    <w:rsid w:val="006C70FE"/>
    <w:rsid w:val="006C7CAE"/>
    <w:rsid w:val="006D2DA6"/>
    <w:rsid w:val="006D3368"/>
    <w:rsid w:val="006E3168"/>
    <w:rsid w:val="006E7BE9"/>
    <w:rsid w:val="006F1980"/>
    <w:rsid w:val="006F236E"/>
    <w:rsid w:val="0071435C"/>
    <w:rsid w:val="007230D8"/>
    <w:rsid w:val="00732CDA"/>
    <w:rsid w:val="00735022"/>
    <w:rsid w:val="007370BF"/>
    <w:rsid w:val="00743265"/>
    <w:rsid w:val="00770C8D"/>
    <w:rsid w:val="00780383"/>
    <w:rsid w:val="0078213F"/>
    <w:rsid w:val="007C2933"/>
    <w:rsid w:val="007D3EBF"/>
    <w:rsid w:val="007D40A8"/>
    <w:rsid w:val="007D768D"/>
    <w:rsid w:val="00825E2E"/>
    <w:rsid w:val="008268CD"/>
    <w:rsid w:val="00831495"/>
    <w:rsid w:val="008336B4"/>
    <w:rsid w:val="00833821"/>
    <w:rsid w:val="00844986"/>
    <w:rsid w:val="008973A0"/>
    <w:rsid w:val="008A47A0"/>
    <w:rsid w:val="008B72CB"/>
    <w:rsid w:val="008D3ED0"/>
    <w:rsid w:val="009035B1"/>
    <w:rsid w:val="009243FB"/>
    <w:rsid w:val="00925CA3"/>
    <w:rsid w:val="00936146"/>
    <w:rsid w:val="00936758"/>
    <w:rsid w:val="00964030"/>
    <w:rsid w:val="009731F5"/>
    <w:rsid w:val="009A331B"/>
    <w:rsid w:val="009B7F2D"/>
    <w:rsid w:val="009D2608"/>
    <w:rsid w:val="009D67BD"/>
    <w:rsid w:val="00A01772"/>
    <w:rsid w:val="00A135F9"/>
    <w:rsid w:val="00A1695D"/>
    <w:rsid w:val="00A2310A"/>
    <w:rsid w:val="00A3249A"/>
    <w:rsid w:val="00A453D7"/>
    <w:rsid w:val="00A50666"/>
    <w:rsid w:val="00A83A5D"/>
    <w:rsid w:val="00A90C67"/>
    <w:rsid w:val="00A95455"/>
    <w:rsid w:val="00AB7792"/>
    <w:rsid w:val="00AC0796"/>
    <w:rsid w:val="00AC2908"/>
    <w:rsid w:val="00AF6F35"/>
    <w:rsid w:val="00B01E65"/>
    <w:rsid w:val="00B04A9F"/>
    <w:rsid w:val="00B115FC"/>
    <w:rsid w:val="00B13ED8"/>
    <w:rsid w:val="00B14872"/>
    <w:rsid w:val="00B55A01"/>
    <w:rsid w:val="00B746A6"/>
    <w:rsid w:val="00B75788"/>
    <w:rsid w:val="00B82A4D"/>
    <w:rsid w:val="00BA19F4"/>
    <w:rsid w:val="00BB522C"/>
    <w:rsid w:val="00BB7DA4"/>
    <w:rsid w:val="00BD0E92"/>
    <w:rsid w:val="00BD3154"/>
    <w:rsid w:val="00BD4D4B"/>
    <w:rsid w:val="00BE467B"/>
    <w:rsid w:val="00BF5D81"/>
    <w:rsid w:val="00C04877"/>
    <w:rsid w:val="00C173E5"/>
    <w:rsid w:val="00C31BF5"/>
    <w:rsid w:val="00C3454F"/>
    <w:rsid w:val="00C6129E"/>
    <w:rsid w:val="00C630FF"/>
    <w:rsid w:val="00C72224"/>
    <w:rsid w:val="00C820DA"/>
    <w:rsid w:val="00C83BE1"/>
    <w:rsid w:val="00CE174F"/>
    <w:rsid w:val="00CE4BE6"/>
    <w:rsid w:val="00D05894"/>
    <w:rsid w:val="00D5563C"/>
    <w:rsid w:val="00D612EB"/>
    <w:rsid w:val="00D62F71"/>
    <w:rsid w:val="00D67E76"/>
    <w:rsid w:val="00D80623"/>
    <w:rsid w:val="00D83C18"/>
    <w:rsid w:val="00D872A2"/>
    <w:rsid w:val="00DA7C81"/>
    <w:rsid w:val="00DC35C9"/>
    <w:rsid w:val="00DD4E7C"/>
    <w:rsid w:val="00DD7325"/>
    <w:rsid w:val="00DE6C26"/>
    <w:rsid w:val="00DF0075"/>
    <w:rsid w:val="00DF71C6"/>
    <w:rsid w:val="00E061B9"/>
    <w:rsid w:val="00E24DA1"/>
    <w:rsid w:val="00E47D75"/>
    <w:rsid w:val="00E53A09"/>
    <w:rsid w:val="00E5466E"/>
    <w:rsid w:val="00E57348"/>
    <w:rsid w:val="00E85C6B"/>
    <w:rsid w:val="00EA00F0"/>
    <w:rsid w:val="00EB705A"/>
    <w:rsid w:val="00EC74C5"/>
    <w:rsid w:val="00F20C92"/>
    <w:rsid w:val="00F32943"/>
    <w:rsid w:val="00F42D0F"/>
    <w:rsid w:val="00F46B55"/>
    <w:rsid w:val="00F607A5"/>
    <w:rsid w:val="00F91CA4"/>
    <w:rsid w:val="00F9298E"/>
    <w:rsid w:val="00FA2740"/>
    <w:rsid w:val="00FC0557"/>
    <w:rsid w:val="00FC2409"/>
    <w:rsid w:val="00FC2D0C"/>
    <w:rsid w:val="00FC34F5"/>
    <w:rsid w:val="00FD363B"/>
    <w:rsid w:val="00FF4E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E42CDF9"/>
  <w14:defaultImageDpi w14:val="32767"/>
  <w15:chartTrackingRefBased/>
  <w15:docId w15:val="{A2850F9E-614A-3B4E-AD4C-2245CC02F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E5D09"/>
    <w:pPr>
      <w:spacing w:line="276" w:lineRule="auto"/>
    </w:pPr>
    <w:rPr>
      <w:rFonts w:ascii="Arial" w:eastAsia="Arial" w:hAnsi="Arial" w:cs="Arial"/>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3E5D09"/>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1090</Words>
  <Characters>6217</Characters>
  <Application>Microsoft Office Word</Application>
  <DocSecurity>0</DocSecurity>
  <Lines>51</Lines>
  <Paragraphs>14</Paragraphs>
  <ScaleCrop>false</ScaleCrop>
  <Company/>
  <LinksUpToDate>false</LinksUpToDate>
  <CharactersWithSpaces>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Tedijanto, Christine Renata</dc:creator>
  <cp:keywords/>
  <dc:description/>
  <cp:lastModifiedBy>Tedijanto, Christine Renata</cp:lastModifiedBy>
  <cp:revision>1</cp:revision>
  <dcterms:created xsi:type="dcterms:W3CDTF">2020-01-23T15:30:00Z</dcterms:created>
  <dcterms:modified xsi:type="dcterms:W3CDTF">2020-01-23T15:31:00Z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zotero-version="5.0.81"&gt;&lt;session id="gr5Cqpxs"/&gt;&lt;style id="http://www.zotero.org/styles/apa-6th-edition" locale="en-US" hasBibliography="1" bibliographyStyleHasBeenSet="1"/&gt;&lt;prefs&gt;&lt;pref name="fieldType" value="Field"/&gt;&lt;pref name="au</vt:lpwstr>
  </property>
  <property fmtid="{D5CDD505-2E9C-101B-9397-08002B2CF9AE}" pid="3" name="ZOTERO_PREF_2">
    <vt:lpwstr>tomaticJournalAbbreviations" value="true"/&gt;&lt;/prefs&gt;&lt;/data&gt;</vt:lpwstr>
  </property>
</Properties>
</file>