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5B939D" w14:textId="77777777" w:rsidR="00C97302" w:rsidRPr="00A064B9" w:rsidRDefault="00C97302" w:rsidP="00C97302">
      <w:pPr>
        <w:spacing w:line="240" w:lineRule="auto"/>
        <w:rPr>
          <w:rFonts w:eastAsia="Times New Roman"/>
          <w:b/>
          <w:sz w:val="24"/>
          <w:szCs w:val="24"/>
        </w:rPr>
      </w:pPr>
      <w:r>
        <w:rPr>
          <w:rFonts w:eastAsia="Times New Roman"/>
          <w:b/>
          <w:sz w:val="24"/>
          <w:szCs w:val="24"/>
        </w:rPr>
        <w:t>Figure 1 – Figure Supplement 2</w:t>
      </w:r>
      <w:r w:rsidRPr="00BE65A0">
        <w:rPr>
          <w:rFonts w:eastAsia="Times New Roman"/>
          <w:b/>
          <w:sz w:val="24"/>
          <w:szCs w:val="24"/>
        </w:rPr>
        <w:t xml:space="preserve">. </w:t>
      </w:r>
      <w:r>
        <w:rPr>
          <w:rFonts w:eastAsia="Times New Roman"/>
          <w:sz w:val="24"/>
          <w:szCs w:val="24"/>
        </w:rPr>
        <w:t>Sensitivity analyses for Scenario 3 (elimination of all antibiotic use for acute sinusitis).</w:t>
      </w:r>
    </w:p>
    <w:p w14:paraId="2C3ACFF8" w14:textId="77777777" w:rsidR="00C97302" w:rsidRPr="004E20A9" w:rsidRDefault="00C97302" w:rsidP="00C97302">
      <w:pPr>
        <w:widowControl w:val="0"/>
        <w:pBdr>
          <w:top w:val="nil"/>
          <w:left w:val="nil"/>
          <w:bottom w:val="nil"/>
          <w:right w:val="nil"/>
          <w:between w:val="nil"/>
        </w:pBdr>
        <w:spacing w:before="240" w:after="240" w:line="240" w:lineRule="auto"/>
        <w:rPr>
          <w:rFonts w:eastAsia="Times New Roman"/>
          <w:bCs/>
          <w:sz w:val="20"/>
          <w:szCs w:val="20"/>
        </w:rPr>
      </w:pPr>
      <w:r>
        <w:rPr>
          <w:rFonts w:eastAsia="Times New Roman"/>
          <w:b/>
          <w:sz w:val="20"/>
          <w:szCs w:val="20"/>
        </w:rPr>
        <w:t xml:space="preserve">A. Use estimates of unnecessary prescribing for acute sinusitis from Fleming-Dutra et al. </w:t>
      </w:r>
      <w:r>
        <w:rPr>
          <w:rFonts w:eastAsia="Times New Roman"/>
          <w:bCs/>
          <w:sz w:val="20"/>
          <w:szCs w:val="20"/>
        </w:rPr>
        <w:t xml:space="preserve">Based on Fleming-Dutra et al. </w:t>
      </w:r>
      <w:r>
        <w:rPr>
          <w:rFonts w:eastAsia="Times New Roman"/>
          <w:bCs/>
          <w:sz w:val="20"/>
          <w:szCs w:val="20"/>
        </w:rPr>
        <w:fldChar w:fldCharType="begin"/>
      </w:r>
      <w:r>
        <w:rPr>
          <w:rFonts w:eastAsia="Times New Roman"/>
          <w:bCs/>
          <w:sz w:val="20"/>
          <w:szCs w:val="20"/>
        </w:rPr>
        <w:instrText xml:space="preserve"> ADDIN ZOTERO_ITEM CSL_CITATION {"citationID":"akLzc36e","properties":{"formattedCitation":"(Fleming-Dutra et al., 2016)","plainCitation":"(Fleming-Dutra et al., 2016)","noteIndex":0},"citationItems":[{"id":685,"uris":["http://zotero.org/users/local/trVziEeF/items/H6QN53QX"],"uri":["http://zotero.org/users/local/trVziEeF/items/H6QN53QX"],"itemData":{"id":685,"type":"article-journal","abstract":"OBJECTIVE To estimate the rates of outpatient oral antibiotic prescribing by age and diagnosis, and the estimated portions of antibiotic use that may be inappropriate in adults and children in the United States. DESIGN, SETTING, AND PARTICIPANTS Using the 2010-2011 National Ambulatory Medical Care Survey and National Hospital Ambulatory Medical Care Survey, annual numbers and population-adjusted rates with 95% confidence intervals of ambulatory visits with oral antibiotic prescriptions by age, region, and diagnosis in the United States were estimated. Editorial page 1839 Supplemental content at jama.com CME Quiz at jamanetworkcme.com EXPOSURES Ambulatory care visits. MAIN OUTCOMES AND MEASURES Based on national guidelines and regional variation in prescribing, diagnosis-specific prevalence and rates of total and appropriate antibiotic prescriptions were determined. These rates were combined to calculate an estimate of the appropriate annual rate of antibiotic prescriptions per 1000 population.\nRESULTS Of the 184 032 sampled visits, 12.6% of visits (95% CI, 12.0%-13.3%) resulted in antibiotic prescriptions. Sinusitis was the single diagnosis associated with the most antibiotic prescriptions per 1000 population (56 antibiotic prescriptions [95% CI, 48-64]), followed by suppurative otitis media (47 antibiotic prescriptions [95% CI, 41-54]), and pharyngitis (43 antibiotic prescriptions [95% CI, 38-49]). Collectively, acute respiratory conditions per 1000 population led to 221 antibiotic prescriptions (95% CI, 198-245) annually, but only 111 antibiotic prescriptions were estimated to be appropriate for these conditions. Per 1000 population, among all conditions and ages combined in 2010-2011, an estimated 506 antibiotic prescriptions (95% CI, 458-554) were written annually, and, of these, 353 antibiotic prescriptions were estimated to be appropriate antibiotic prescriptions.\nCONCLUSIONS AND RELEVANCE In the United States in 2010-2011, there was an estimated annual antibiotic prescription rate per 1000 population of 506, but only an estimated 353 antibiotic prescriptions were likely appropriate, supporting the need for establishing a goal for outpatient antibiotic stewardship.","container-title":"JAMA","DOI":"10.1001/jama.2016.4151","ISSN":"0098-7484","issue":"17","language":"en","page":"1864-1873","source":"Crossref","title":"Prevalence of Inappropriate Antibiotic Prescriptions Among US Ambulatory Care Visits, 2010-2011","volume":"315","author":[{"family":"Fleming-Dutra","given":"Katherine E."},{"family":"Hersh","given":"Adam L."},{"family":"Shapiro","given":"Daniel J."},{"family":"Bartoces","given":"Monina"},{"family":"Enns","given":"Eva A."},{"family":"File","given":"Thomas M."},{"family":"Finkelstein","given":"Jonathan A."},{"family":"Gerber","given":"Jeffrey S."},{"family":"Hyun","given":"David Y."},{"family":"Linder","given":"Jeffrey A."},{"family":"Lynfield","given":"Ruth"},{"family":"Margolis","given":"David J."},{"family":"May","given":"Larissa S."},{"family":"Merenstein","given":"Daniel"},{"family":"Metlay","given":"Joshua P."},{"family":"Newland","given":"Jason G."},{"family":"Piccirillo","given":"Jay F."},{"family":"Roberts","given":"Rebecca M."},{"family":"Sanchez","given":"Guillermo V."},{"family":"Suda","given":"Katie J."},{"family":"Thomas","given":"Ann"},{"family":"Woo","given":"Teri Moser"},{"family":"Zetts","given":"Rachel M."},{"family":"Hicks","given":"Lauri A."}],"issued":{"date-parts":[["2016",5]]}}}],"schema":"https://github.com/citation-style-language/schema/raw/master/csl-citation.json"} </w:instrText>
      </w:r>
      <w:r>
        <w:rPr>
          <w:rFonts w:eastAsia="Times New Roman"/>
          <w:bCs/>
          <w:sz w:val="20"/>
          <w:szCs w:val="20"/>
        </w:rPr>
        <w:fldChar w:fldCharType="separate"/>
      </w:r>
      <w:r>
        <w:rPr>
          <w:rFonts w:eastAsia="Times New Roman"/>
          <w:bCs/>
          <w:noProof/>
          <w:sz w:val="20"/>
          <w:szCs w:val="20"/>
        </w:rPr>
        <w:t>(Fleming-Dutra et al., 2016)</w:t>
      </w:r>
      <w:r>
        <w:rPr>
          <w:rFonts w:eastAsia="Times New Roman"/>
          <w:bCs/>
          <w:sz w:val="20"/>
          <w:szCs w:val="20"/>
        </w:rPr>
        <w:fldChar w:fldCharType="end"/>
      </w:r>
      <w:r>
        <w:rPr>
          <w:rFonts w:eastAsia="Times New Roman"/>
          <w:bCs/>
          <w:sz w:val="20"/>
          <w:szCs w:val="20"/>
        </w:rPr>
        <w:t xml:space="preserve">, we estimate that the proportion of unnecessary antibiotic prescriptions for acute sinusitis is 18%, 100%, and 34% for individuals who are 0-19, 20-64, and over 65 years old, respectively (see Figure 1 – Source Data File 2). </w:t>
      </w:r>
      <w:r>
        <w:rPr>
          <w:rFonts w:eastAsia="Times New Roman"/>
          <w:b/>
          <w:sz w:val="20"/>
          <w:szCs w:val="20"/>
        </w:rPr>
        <w:t xml:space="preserve">  </w:t>
      </w:r>
    </w:p>
    <w:p w14:paraId="67492014" w14:textId="77777777" w:rsidR="00C97302" w:rsidRPr="00F303D7" w:rsidRDefault="00C97302" w:rsidP="00C97302">
      <w:pPr>
        <w:widowControl w:val="0"/>
        <w:pBdr>
          <w:top w:val="nil"/>
          <w:left w:val="nil"/>
          <w:bottom w:val="nil"/>
          <w:right w:val="nil"/>
          <w:between w:val="nil"/>
        </w:pBdr>
        <w:spacing w:before="240" w:after="240" w:line="240" w:lineRule="auto"/>
        <w:jc w:val="center"/>
        <w:rPr>
          <w:rFonts w:eastAsia="Times New Roman"/>
          <w:bCs/>
          <w:sz w:val="20"/>
          <w:szCs w:val="20"/>
        </w:rPr>
      </w:pPr>
      <w:r>
        <w:rPr>
          <w:rFonts w:eastAsia="Times New Roman"/>
          <w:bCs/>
          <w:noProof/>
          <w:sz w:val="20"/>
          <w:szCs w:val="20"/>
        </w:rPr>
        <w:drawing>
          <wp:inline distT="0" distB="0" distL="0" distR="0" wp14:anchorId="2CD93066" wp14:editId="23227260">
            <wp:extent cx="4846320" cy="2949731"/>
            <wp:effectExtent l="0" t="0" r="5080" b="0"/>
            <wp:docPr id="8" name="Picture 8" descr="A close up of a piece of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0.01.16 figure.acuteSinusitis - 2015 - SA3.jpg"/>
                    <pic:cNvPicPr/>
                  </pic:nvPicPr>
                  <pic:blipFill>
                    <a:blip r:embed="rId6">
                      <a:extLst>
                        <a:ext uri="{28A0092B-C50C-407E-A947-70E740481C1C}">
                          <a14:useLocalDpi xmlns:a14="http://schemas.microsoft.com/office/drawing/2010/main" val="0"/>
                        </a:ext>
                      </a:extLst>
                    </a:blip>
                    <a:stretch>
                      <a:fillRect/>
                    </a:stretch>
                  </pic:blipFill>
                  <pic:spPr>
                    <a:xfrm>
                      <a:off x="0" y="0"/>
                      <a:ext cx="4846320" cy="2949731"/>
                    </a:xfrm>
                    <a:prstGeom prst="rect">
                      <a:avLst/>
                    </a:prstGeom>
                  </pic:spPr>
                </pic:pic>
              </a:graphicData>
            </a:graphic>
          </wp:inline>
        </w:drawing>
      </w:r>
    </w:p>
    <w:p w14:paraId="7B6087F0" w14:textId="5FF28D8B" w:rsidR="00C97302" w:rsidRPr="009C4C56" w:rsidRDefault="00C97302" w:rsidP="00C97302">
      <w:pPr>
        <w:widowControl w:val="0"/>
        <w:pBdr>
          <w:top w:val="nil"/>
          <w:left w:val="nil"/>
          <w:bottom w:val="nil"/>
          <w:right w:val="nil"/>
          <w:between w:val="nil"/>
        </w:pBdr>
        <w:spacing w:before="240" w:after="240" w:line="240" w:lineRule="auto"/>
        <w:rPr>
          <w:bCs/>
          <w:noProof/>
          <w:sz w:val="20"/>
          <w:szCs w:val="20"/>
        </w:rPr>
      </w:pPr>
      <w:r>
        <w:rPr>
          <w:rFonts w:eastAsia="Times New Roman"/>
          <w:b/>
          <w:sz w:val="20"/>
          <w:szCs w:val="20"/>
        </w:rPr>
        <w:t>B</w:t>
      </w:r>
      <w:r w:rsidRPr="00093268">
        <w:rPr>
          <w:rFonts w:eastAsia="Times New Roman"/>
          <w:b/>
          <w:sz w:val="20"/>
          <w:szCs w:val="20"/>
        </w:rPr>
        <w:t>.</w:t>
      </w:r>
      <w:r>
        <w:rPr>
          <w:rFonts w:eastAsia="Times New Roman"/>
          <w:b/>
          <w:sz w:val="20"/>
          <w:szCs w:val="20"/>
        </w:rPr>
        <w:t xml:space="preserve"> Use estimates of bacterial etiology to </w:t>
      </w:r>
      <w:r>
        <w:rPr>
          <w:b/>
          <w:noProof/>
          <w:sz w:val="20"/>
          <w:szCs w:val="20"/>
        </w:rPr>
        <w:t>approximate necessary antibiotic use</w:t>
      </w:r>
      <w:r>
        <w:rPr>
          <w:rFonts w:eastAsia="Times New Roman"/>
          <w:b/>
          <w:sz w:val="20"/>
          <w:szCs w:val="20"/>
        </w:rPr>
        <w:t xml:space="preserve"> for acute sinusitis. </w:t>
      </w:r>
      <w:r w:rsidRPr="00FC1392">
        <w:rPr>
          <w:noProof/>
          <w:sz w:val="20"/>
          <w:szCs w:val="20"/>
        </w:rPr>
        <w:t xml:space="preserve">The </w:t>
      </w:r>
      <w:r>
        <w:rPr>
          <w:noProof/>
          <w:sz w:val="20"/>
          <w:szCs w:val="20"/>
        </w:rPr>
        <w:t xml:space="preserve">following </w:t>
      </w:r>
      <w:r w:rsidRPr="00FC1392">
        <w:rPr>
          <w:noProof/>
          <w:sz w:val="20"/>
          <w:szCs w:val="20"/>
        </w:rPr>
        <w:t xml:space="preserve">upper bound estimates </w:t>
      </w:r>
      <w:r>
        <w:rPr>
          <w:noProof/>
          <w:sz w:val="20"/>
          <w:szCs w:val="20"/>
        </w:rPr>
        <w:t>for</w:t>
      </w:r>
      <w:r w:rsidRPr="00FC1392">
        <w:rPr>
          <w:noProof/>
          <w:sz w:val="20"/>
          <w:szCs w:val="20"/>
        </w:rPr>
        <w:t xml:space="preserve"> </w:t>
      </w:r>
      <w:r>
        <w:rPr>
          <w:noProof/>
          <w:sz w:val="20"/>
          <w:szCs w:val="20"/>
        </w:rPr>
        <w:t>the proportion of</w:t>
      </w:r>
      <w:r w:rsidRPr="00FC1392">
        <w:rPr>
          <w:noProof/>
          <w:sz w:val="20"/>
          <w:szCs w:val="20"/>
        </w:rPr>
        <w:t xml:space="preserve"> acute sinusitis </w:t>
      </w:r>
      <w:r>
        <w:rPr>
          <w:noProof/>
          <w:sz w:val="20"/>
          <w:szCs w:val="20"/>
        </w:rPr>
        <w:t xml:space="preserve">cases with bacterial etiology </w:t>
      </w:r>
      <w:r w:rsidRPr="00FC1392">
        <w:rPr>
          <w:noProof/>
          <w:sz w:val="20"/>
          <w:szCs w:val="20"/>
        </w:rPr>
        <w:t xml:space="preserve">were </w:t>
      </w:r>
      <w:r>
        <w:rPr>
          <w:noProof/>
          <w:sz w:val="20"/>
          <w:szCs w:val="20"/>
        </w:rPr>
        <w:t xml:space="preserve">used: </w:t>
      </w:r>
      <w:r w:rsidRPr="00FC1392">
        <w:rPr>
          <w:noProof/>
          <w:sz w:val="20"/>
          <w:szCs w:val="20"/>
        </w:rPr>
        <w:t>2% for adults and 13% for children (</w:t>
      </w:r>
      <w:r>
        <w:rPr>
          <w:noProof/>
          <w:sz w:val="20"/>
          <w:szCs w:val="20"/>
        </w:rPr>
        <w:t xml:space="preserve">applied to </w:t>
      </w:r>
      <w:r w:rsidRPr="00FC1392">
        <w:rPr>
          <w:noProof/>
          <w:sz w:val="20"/>
          <w:szCs w:val="20"/>
        </w:rPr>
        <w:t>0-19 year</w:t>
      </w:r>
      <w:r>
        <w:rPr>
          <w:noProof/>
          <w:sz w:val="20"/>
          <w:szCs w:val="20"/>
        </w:rPr>
        <w:t xml:space="preserve"> old age group</w:t>
      </w:r>
      <w:r w:rsidRPr="00FC1392">
        <w:rPr>
          <w:noProof/>
          <w:sz w:val="20"/>
          <w:szCs w:val="20"/>
        </w:rPr>
        <w:t>)</w:t>
      </w:r>
      <w:r>
        <w:rPr>
          <w:noProof/>
          <w:sz w:val="20"/>
          <w:szCs w:val="20"/>
        </w:rPr>
        <w:t xml:space="preserve"> </w:t>
      </w:r>
      <w:r>
        <w:rPr>
          <w:noProof/>
          <w:sz w:val="20"/>
          <w:szCs w:val="20"/>
        </w:rPr>
        <w:fldChar w:fldCharType="begin"/>
      </w:r>
      <w:r>
        <w:rPr>
          <w:noProof/>
          <w:sz w:val="20"/>
          <w:szCs w:val="20"/>
        </w:rPr>
        <w:instrText xml:space="preserve"> ADDIN ZOTERO_ITEM CSL_CITATION {"citationID":"22drL8PM","properties":{"formattedCitation":"(Sande &amp; Gwaltney, 2004; Snow, Mottur-Pilson, &amp; Hickner, 2001; Wald, Guerra, &amp; Byers, 1991)","plainCitation":"(Sande &amp; Gwaltney, 2004; Snow, Mottur-Pilson, &amp; Hickner, 2001; Wald, Guerra, &amp; Byers, 1991)","noteIndex":0},"citationItems":[{"id":2116,"uris":["http://zotero.org/users/local/trVziEeF/items/9L7DJEHN"],"uri":["http://zotero.org/users/local/trVziEeF/items/9L7DJEHN"],"itemData":{"id":2116,"type":"article-journal","container-title":"Clinical Infectious Diseases","DOI":"10.1086/421353","ISSN":"1537-6591, 1058-4838","language":"en","page":"S151-S158","source":"DOI.org (Crossref)","title":"Acute Community-Acquired Bacterial Sinusitis: Continuing Challenges and Current Management","title-short":"Acute Community-Acquired Bacterial Sinusitis","volume":"39","author":[{"family":"Sande","given":"Merle A."},{"family":"Gwaltney","given":"Jack M."}],"issued":{"date-parts":[["2004",9,1]]}}},{"id":2114,"uris":["http://zotero.org/users/local/trVziEeF/items/UFMC8D5I"],"uri":["http://zotero.org/users/local/trVziEeF/items/UFMC8D5I"],"itemData":{"id":2114,"type":"article-journal","abstract":"In summary, most cases of acute rhinosinusitis diagnosed in ambulatory care are caused by uncomplicated viral upper respiratory tract infections. Bacterial and viral rhinosinusitis are difﬁcult to differentiate on clinical grounds. The clinical diagnosis of acute bacterial rhinosinusitis should be reserved for patients with rhinosinusitis symptoms lasting 7 days or more who have purulent nasal secretions and maxillary facial or tooth pain or tenderness. Patients who have symptoms of rhinosinusitis for less than 7 days are unlikely to have bacterial infection. Sinus radiography is not recommended for diagnosis in routine cases. Acute bacterial rhinosinusitis resolves without antibiotic treatment in most cases. Symptomatic treatment and reassurance are the preferred initial management strategy for patients with mild symptoms. Antibiotic therapy should be reserved for patients with severe symptoms who meet the criteria for the clinical diagnosis of acute bacterial rhinosinusitis, regardless of duration of illness. Initial antibiotic treatment should be with narrow-spectrum agents. On the basis of clinical trials, amoxicillin, doxycycline, and trimethoprim–sulfamethoxazole are the favored antibiotics [5.4, 5.5].","container-title":"Annals of Internal Medicine","DOI":"10.7326/0003-4819-134-6-200103200-00016","ISSN":"0003-4819","issue":"6","journalAbbreviation":"Ann Intern Med","language":"en","page":"495","source":"DOI.org (Crossref)","title":"Principles of Appropriate Antibiotic Use for Acute Sinusitis in Adults","volume":"134","author":[{"family":"Snow","given":"Vincenza"},{"family":"Mottur-Pilson","given":"Christel"},{"family":"Hickner","given":"John M."}],"issued":{"date-parts":[["2001",3,20]]}}},{"id":2132,"uris":["http://zotero.org/users/local/trVziEeF/items/G27WN8AJ"],"uri":["http://zotero.org/users/local/trVziEeF/items/G27WN8AJ"],"itemData":{"id":2132,"type":"article-journal","container-title":"Pediatrics","ISSN":"1098-4275","issue":"2","language":"en","page":"129-133","source":"Zotero","title":"Upper Respiratory Tract Infections in Young Children: Duration of and Frequency of Complications","volume":"87","author":[{"family":"Wald","given":"Ellen R"},{"family":"Guerra","given":"Nancy"},{"family":"Byers","given":"Carol"}],"issued":{"date-parts":[["1991",2]]}}}],"schema":"https://github.com/citation-style-language/schema/raw/master/csl-citation.json"} </w:instrText>
      </w:r>
      <w:r>
        <w:rPr>
          <w:noProof/>
          <w:sz w:val="20"/>
          <w:szCs w:val="20"/>
        </w:rPr>
        <w:fldChar w:fldCharType="separate"/>
      </w:r>
      <w:r>
        <w:rPr>
          <w:sz w:val="20"/>
        </w:rPr>
        <w:t xml:space="preserve">(Sande &amp; Gwaltney, 2004; Snow, </w:t>
      </w:r>
      <w:proofErr w:type="spellStart"/>
      <w:r>
        <w:rPr>
          <w:sz w:val="20"/>
        </w:rPr>
        <w:t>Mottur-Pilson</w:t>
      </w:r>
      <w:proofErr w:type="spellEnd"/>
      <w:r>
        <w:rPr>
          <w:sz w:val="20"/>
        </w:rPr>
        <w:t>, &amp; Hickner, 2001; Wald, Guerra, &amp; Byers, 1991)</w:t>
      </w:r>
      <w:r>
        <w:rPr>
          <w:noProof/>
          <w:sz w:val="20"/>
          <w:szCs w:val="20"/>
        </w:rPr>
        <w:fldChar w:fldCharType="end"/>
      </w:r>
      <w:r>
        <w:rPr>
          <w:bCs/>
          <w:noProof/>
          <w:sz w:val="20"/>
          <w:szCs w:val="20"/>
        </w:rPr>
        <w:t>.</w:t>
      </w:r>
    </w:p>
    <w:p w14:paraId="414BF8E0" w14:textId="77777777" w:rsidR="00C97302" w:rsidRDefault="00C97302" w:rsidP="00C97302">
      <w:pPr>
        <w:widowControl w:val="0"/>
        <w:pBdr>
          <w:top w:val="nil"/>
          <w:left w:val="nil"/>
          <w:bottom w:val="nil"/>
          <w:right w:val="nil"/>
          <w:between w:val="nil"/>
        </w:pBdr>
        <w:spacing w:before="240" w:after="240" w:line="240" w:lineRule="auto"/>
        <w:ind w:left="480" w:hanging="480"/>
        <w:jc w:val="center"/>
        <w:rPr>
          <w:b/>
          <w:noProof/>
          <w:sz w:val="20"/>
          <w:szCs w:val="20"/>
        </w:rPr>
      </w:pPr>
      <w:r>
        <w:rPr>
          <w:b/>
          <w:noProof/>
          <w:sz w:val="20"/>
          <w:szCs w:val="20"/>
        </w:rPr>
        <w:drawing>
          <wp:inline distT="0" distB="0" distL="0" distR="0" wp14:anchorId="7B8AA4FD" wp14:editId="10E86F21">
            <wp:extent cx="4846320" cy="2949731"/>
            <wp:effectExtent l="0" t="0" r="5080" b="0"/>
            <wp:docPr id="6" name="Picture 6" descr="A close up of a piece of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0.01.16 figure.acuteSinusitis - 2015 - SA1.jpg"/>
                    <pic:cNvPicPr/>
                  </pic:nvPicPr>
                  <pic:blipFill>
                    <a:blip r:embed="rId7">
                      <a:extLst>
                        <a:ext uri="{28A0092B-C50C-407E-A947-70E740481C1C}">
                          <a14:useLocalDpi xmlns:a14="http://schemas.microsoft.com/office/drawing/2010/main" val="0"/>
                        </a:ext>
                      </a:extLst>
                    </a:blip>
                    <a:stretch>
                      <a:fillRect/>
                    </a:stretch>
                  </pic:blipFill>
                  <pic:spPr>
                    <a:xfrm>
                      <a:off x="0" y="0"/>
                      <a:ext cx="4846320" cy="2949731"/>
                    </a:xfrm>
                    <a:prstGeom prst="rect">
                      <a:avLst/>
                    </a:prstGeom>
                  </pic:spPr>
                </pic:pic>
              </a:graphicData>
            </a:graphic>
          </wp:inline>
        </w:drawing>
      </w:r>
    </w:p>
    <w:p w14:paraId="1A97786D" w14:textId="03320EE9" w:rsidR="00C97302" w:rsidRPr="00176417" w:rsidRDefault="00C97302" w:rsidP="00C97302">
      <w:pPr>
        <w:widowControl w:val="0"/>
        <w:pBdr>
          <w:top w:val="nil"/>
          <w:left w:val="nil"/>
          <w:bottom w:val="nil"/>
          <w:right w:val="nil"/>
          <w:between w:val="nil"/>
        </w:pBdr>
        <w:spacing w:before="240" w:after="240" w:line="240" w:lineRule="auto"/>
        <w:rPr>
          <w:noProof/>
          <w:sz w:val="20"/>
          <w:szCs w:val="20"/>
        </w:rPr>
      </w:pPr>
      <w:r>
        <w:rPr>
          <w:rFonts w:eastAsia="Times New Roman"/>
          <w:b/>
          <w:sz w:val="20"/>
          <w:szCs w:val="20"/>
        </w:rPr>
        <w:lastRenderedPageBreak/>
        <w:t>C</w:t>
      </w:r>
      <w:r w:rsidRPr="00EE4418">
        <w:rPr>
          <w:rFonts w:eastAsia="Times New Roman"/>
          <w:b/>
          <w:sz w:val="20"/>
          <w:szCs w:val="20"/>
        </w:rPr>
        <w:t>.</w:t>
      </w:r>
      <w:r w:rsidRPr="00EE4418">
        <w:rPr>
          <w:b/>
          <w:noProof/>
          <w:sz w:val="20"/>
          <w:szCs w:val="20"/>
        </w:rPr>
        <w:t xml:space="preserve"> </w:t>
      </w:r>
      <w:r>
        <w:rPr>
          <w:b/>
          <w:noProof/>
          <w:sz w:val="20"/>
          <w:szCs w:val="20"/>
        </w:rPr>
        <w:t xml:space="preserve">Use estimates of bacterial etiology among those presenting to primary care clinics to approximate necessary antibiotic use. </w:t>
      </w:r>
      <w:r>
        <w:rPr>
          <w:noProof/>
          <w:sz w:val="20"/>
          <w:szCs w:val="20"/>
        </w:rPr>
        <w:t xml:space="preserve">Patients visiting the clinic are likely to have more persistent, severe, or worsening symptoms, which may be indications of bacterial etiology. Studies have estimated that approximately 38% of adults and 17% of children (upper bounds) visiting primary care for symptoms of acute upper respiratory tract infection have bacterial rhinosinusitis </w:t>
      </w:r>
      <w:r>
        <w:rPr>
          <w:noProof/>
          <w:sz w:val="20"/>
          <w:szCs w:val="20"/>
        </w:rPr>
        <w:fldChar w:fldCharType="begin"/>
      </w:r>
      <w:r>
        <w:rPr>
          <w:noProof/>
          <w:sz w:val="20"/>
          <w:szCs w:val="20"/>
        </w:rPr>
        <w:instrText xml:space="preserve"> ADDIN ZOTERO_ITEM CSL_CITATION {"citationID":"ublCI0N8","properties":{"formattedCitation":"(Aitken &amp; Taylor, 1998; Benninger, Holzer, &amp; Lau, 2000; Williams, Simel, Roberts, &amp; Samsa, 1992)","plainCitation":"(Aitken &amp; Taylor, 1998; Benninger, Holzer, &amp; Lau, 2000; Williams, Simel, Roberts, &amp; Samsa, 1992)","noteIndex":0},"citationItems":[{"id":2112,"uris":["http://zotero.org/users/local/trVziEeF/items/QMKDE2Y9"],"uri":["http://zotero.org/users/local/trVziEeF/items/QMKDE2Y9"],"itemData":{"id":2112,"type":"article-journal","container-title":"Otolaryngology–Head and Neck Surgery","DOI":"10.1016/S0194-5998(00)70135-5","ISSN":"0194-5998, 1097-6817","issue":"1","journalAbbreviation":"Otolaryngol Head Neck Surg","language":"en","page":"1-7","source":"DOI.org (Crossref)","title":"Diagnosis and treatment of uncomplicated acute bacterial rhinosinusitis: Summary of the Agency for Health Care Policy and Research evidence-based report","title-short":"Diagnosis and treatment of uncomplicated acute bacterial rhinosinusitis","volume":"122","author":[{"family":"Benninger","given":"Michael S."},{"family":"Holzer","given":"Susan E. Sedory"},{"family":"Lau","given":"Joseph"}],"issued":{"date-parts":[["2000",1]]}}},{"id":2111,"uris":["http://zotero.org/users/local/trVziEeF/items/WT6SBK34"],"uri":["http://zotero.org/users/local/trVziEeF/items/WT6SBK34"],"itemData":{"id":2111,"type":"article-journal","container-title":"Annals of Internal Medicine","DOI":"10.7326/0003-4819-117-9-705","issue":"9","language":"en","page":"705-710","source":"Zotero","title":"Clinical Evaluation for Sinusitis","volume":"117","author":[{"family":"Williams","given":"John W"},{"family":"Simel","given":"David L"},{"family":"Roberts","given":"LeRoy"},{"family":"Samsa","given":"Greg P"}],"issued":{"date-parts":[["1992",11,1]]}}},{"id":2109,"uris":["http://zotero.org/users/local/trVziEeF/items/NZ9RGCGI"],"uri":["http://zotero.org/users/local/trVziEeF/items/NZ9RGCGI"],"itemData":{"id":2109,"type":"article-journal","container-title":"Archives of Pediatrics &amp; Adolescent Medicine","DOI":"10.1001/archpedi.152.3.244","ISSN":"1072-4710","issue":"3","journalAbbreviation":"Arch Pediatr Adolesc Med","language":"en","page":"244-248","source":"DOI.org (Crossref)","title":"Prevalence of Clinical Sinusitis in Young Children Followed Up by Primary Care Pediatricians","volume":"152","author":[{"family":"Aitken","given":"Mary"},{"family":"Taylor","given":"James A."}],"issued":{"date-parts":[["1998",3,1]]}}}],"schema":"https://github.com/citation-style-language/schema/raw/master/csl-citation.json"} </w:instrText>
      </w:r>
      <w:r>
        <w:rPr>
          <w:noProof/>
          <w:sz w:val="20"/>
          <w:szCs w:val="20"/>
        </w:rPr>
        <w:fldChar w:fldCharType="separate"/>
      </w:r>
      <w:r>
        <w:rPr>
          <w:sz w:val="20"/>
        </w:rPr>
        <w:t xml:space="preserve">(Aitken &amp; Taylor, 1998; Benninger, Holzer, &amp; Lau, 2000; Williams, </w:t>
      </w:r>
      <w:proofErr w:type="spellStart"/>
      <w:r>
        <w:rPr>
          <w:sz w:val="20"/>
        </w:rPr>
        <w:t>Simel</w:t>
      </w:r>
      <w:proofErr w:type="spellEnd"/>
      <w:r>
        <w:rPr>
          <w:sz w:val="20"/>
        </w:rPr>
        <w:t xml:space="preserve">, Roberts, &amp; </w:t>
      </w:r>
      <w:proofErr w:type="spellStart"/>
      <w:r>
        <w:rPr>
          <w:sz w:val="20"/>
        </w:rPr>
        <w:t>Samsa</w:t>
      </w:r>
      <w:proofErr w:type="spellEnd"/>
      <w:r>
        <w:rPr>
          <w:sz w:val="20"/>
        </w:rPr>
        <w:t>, 1992)</w:t>
      </w:r>
      <w:r>
        <w:rPr>
          <w:noProof/>
          <w:sz w:val="20"/>
          <w:szCs w:val="20"/>
        </w:rPr>
        <w:fldChar w:fldCharType="end"/>
      </w:r>
      <w:r>
        <w:rPr>
          <w:noProof/>
          <w:sz w:val="20"/>
          <w:szCs w:val="20"/>
        </w:rPr>
        <w:t>.</w:t>
      </w:r>
    </w:p>
    <w:p w14:paraId="3FF3B947" w14:textId="77777777" w:rsidR="00C97302" w:rsidRDefault="00C97302" w:rsidP="00C97302">
      <w:pPr>
        <w:widowControl w:val="0"/>
        <w:pBdr>
          <w:top w:val="nil"/>
          <w:left w:val="nil"/>
          <w:bottom w:val="nil"/>
          <w:right w:val="nil"/>
          <w:between w:val="nil"/>
        </w:pBdr>
        <w:spacing w:before="240" w:after="240" w:line="240" w:lineRule="auto"/>
        <w:ind w:left="480" w:hanging="480"/>
        <w:jc w:val="center"/>
        <w:rPr>
          <w:b/>
          <w:noProof/>
          <w:sz w:val="20"/>
          <w:szCs w:val="20"/>
        </w:rPr>
      </w:pPr>
      <w:r>
        <w:rPr>
          <w:b/>
          <w:noProof/>
          <w:sz w:val="20"/>
          <w:szCs w:val="20"/>
        </w:rPr>
        <w:drawing>
          <wp:inline distT="0" distB="0" distL="0" distR="0" wp14:anchorId="3FFC0A26" wp14:editId="431E2062">
            <wp:extent cx="4754880" cy="2894076"/>
            <wp:effectExtent l="0" t="0" r="0" b="1905"/>
            <wp:docPr id="7" name="Picture 7" descr="A close up of a piece of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20.01.16 figure.acuteSinusitis - 2015 - SA2.jpg"/>
                    <pic:cNvPicPr/>
                  </pic:nvPicPr>
                  <pic:blipFill>
                    <a:blip r:embed="rId8">
                      <a:extLst>
                        <a:ext uri="{28A0092B-C50C-407E-A947-70E740481C1C}">
                          <a14:useLocalDpi xmlns:a14="http://schemas.microsoft.com/office/drawing/2010/main" val="0"/>
                        </a:ext>
                      </a:extLst>
                    </a:blip>
                    <a:stretch>
                      <a:fillRect/>
                    </a:stretch>
                  </pic:blipFill>
                  <pic:spPr>
                    <a:xfrm>
                      <a:off x="0" y="0"/>
                      <a:ext cx="4754880" cy="2894076"/>
                    </a:xfrm>
                    <a:prstGeom prst="rect">
                      <a:avLst/>
                    </a:prstGeom>
                  </pic:spPr>
                </pic:pic>
              </a:graphicData>
            </a:graphic>
          </wp:inline>
        </w:drawing>
      </w:r>
    </w:p>
    <w:p w14:paraId="04179DCE" w14:textId="77777777" w:rsidR="00C97302" w:rsidRDefault="00C97302" w:rsidP="00C97302">
      <w:pPr>
        <w:widowControl w:val="0"/>
        <w:pBdr>
          <w:top w:val="nil"/>
          <w:left w:val="nil"/>
          <w:bottom w:val="nil"/>
          <w:right w:val="nil"/>
          <w:between w:val="nil"/>
        </w:pBdr>
        <w:rPr>
          <w:rFonts w:eastAsia="Times New Roman"/>
          <w:color w:val="000000"/>
          <w:sz w:val="18"/>
          <w:szCs w:val="18"/>
          <w:lang w:val="en-US"/>
        </w:rPr>
      </w:pPr>
      <w:r>
        <w:rPr>
          <w:noProof/>
          <w:sz w:val="20"/>
          <w:szCs w:val="20"/>
        </w:rPr>
        <w:drawing>
          <wp:inline distT="0" distB="0" distL="0" distR="0" wp14:anchorId="75CD1B80" wp14:editId="58A4FDC7">
            <wp:extent cx="5943600" cy="470342"/>
            <wp:effectExtent l="0" t="0" r="0" b="0"/>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019.05.07 eFigure 1.png"/>
                    <pic:cNvPicPr/>
                  </pic:nvPicPr>
                  <pic:blipFill rotWithShape="1">
                    <a:blip r:embed="rId9">
                      <a:extLst>
                        <a:ext uri="{28A0092B-C50C-407E-A947-70E740481C1C}">
                          <a14:useLocalDpi xmlns:a14="http://schemas.microsoft.com/office/drawing/2010/main" val="0"/>
                        </a:ext>
                      </a:extLst>
                    </a:blip>
                    <a:srcRect t="88228"/>
                    <a:stretch/>
                  </pic:blipFill>
                  <pic:spPr bwMode="auto">
                    <a:xfrm>
                      <a:off x="0" y="0"/>
                      <a:ext cx="5943600" cy="470342"/>
                    </a:xfrm>
                    <a:prstGeom prst="rect">
                      <a:avLst/>
                    </a:prstGeom>
                    <a:ln>
                      <a:noFill/>
                    </a:ln>
                    <a:extLst>
                      <a:ext uri="{53640926-AAD7-44D8-BBD7-CCE9431645EC}">
                        <a14:shadowObscured xmlns:a14="http://schemas.microsoft.com/office/drawing/2010/main"/>
                      </a:ext>
                    </a:extLst>
                  </pic:spPr>
                </pic:pic>
              </a:graphicData>
            </a:graphic>
          </wp:inline>
        </w:drawing>
      </w:r>
      <w:r w:rsidRPr="00943C22">
        <w:rPr>
          <w:rFonts w:eastAsia="Times New Roman"/>
          <w:color w:val="000000"/>
          <w:sz w:val="18"/>
          <w:szCs w:val="18"/>
          <w:lang w:val="en-US"/>
        </w:rPr>
        <w:t xml:space="preserve"> </w:t>
      </w:r>
    </w:p>
    <w:p w14:paraId="190DA67B" w14:textId="77777777" w:rsidR="00C97302" w:rsidRDefault="00C97302" w:rsidP="00C97302">
      <w:pPr>
        <w:spacing w:line="240" w:lineRule="auto"/>
        <w:rPr>
          <w:rFonts w:eastAsia="Times New Roman"/>
          <w:b/>
          <w:bCs/>
          <w:color w:val="000000"/>
          <w:sz w:val="20"/>
          <w:szCs w:val="20"/>
          <w:lang w:val="en-US"/>
        </w:rPr>
      </w:pPr>
    </w:p>
    <w:p w14:paraId="3BB86A77" w14:textId="77777777" w:rsidR="00C97302" w:rsidRPr="00CC4502" w:rsidRDefault="00C97302" w:rsidP="00C97302">
      <w:pPr>
        <w:spacing w:line="240" w:lineRule="auto"/>
        <w:rPr>
          <w:rFonts w:eastAsia="Times New Roman"/>
          <w:color w:val="000000"/>
          <w:sz w:val="20"/>
          <w:szCs w:val="20"/>
          <w:lang w:val="en-US"/>
        </w:rPr>
      </w:pPr>
      <w:r w:rsidRPr="00CC4502">
        <w:rPr>
          <w:rFonts w:eastAsia="Times New Roman"/>
          <w:b/>
          <w:bCs/>
          <w:color w:val="000000"/>
          <w:sz w:val="20"/>
          <w:szCs w:val="20"/>
          <w:lang w:val="en-US"/>
        </w:rPr>
        <w:t xml:space="preserve">Abbreviations: </w:t>
      </w:r>
      <w:r w:rsidRPr="00CC4502">
        <w:rPr>
          <w:rFonts w:eastAsia="Times New Roman"/>
          <w:i/>
          <w:iCs/>
          <w:color w:val="000000"/>
          <w:sz w:val="20"/>
          <w:szCs w:val="20"/>
          <w:lang w:val="en-US"/>
        </w:rPr>
        <w:t xml:space="preserve">Antibiotics (y-axis): </w:t>
      </w:r>
      <w:r w:rsidRPr="00CC4502">
        <w:rPr>
          <w:rFonts w:eastAsia="Times New Roman"/>
          <w:color w:val="000000"/>
          <w:sz w:val="20"/>
          <w:szCs w:val="20"/>
          <w:lang w:val="en-US"/>
        </w:rPr>
        <w:t xml:space="preserve">AMX-CLAV=amoxicillin-clavulanate, </w:t>
      </w:r>
      <w:r>
        <w:rPr>
          <w:rFonts w:eastAsia="Times New Roman"/>
          <w:color w:val="000000"/>
          <w:sz w:val="20"/>
          <w:szCs w:val="20"/>
          <w:lang w:val="en-US"/>
        </w:rPr>
        <w:t xml:space="preserve">MACR/LINC=macrolides/ </w:t>
      </w:r>
      <w:proofErr w:type="spellStart"/>
      <w:r>
        <w:rPr>
          <w:rFonts w:eastAsia="Times New Roman"/>
          <w:color w:val="000000"/>
          <w:sz w:val="20"/>
          <w:szCs w:val="20"/>
          <w:lang w:val="en-US"/>
        </w:rPr>
        <w:t>lincosamides</w:t>
      </w:r>
      <w:proofErr w:type="spellEnd"/>
      <w:r>
        <w:rPr>
          <w:rFonts w:eastAsia="Times New Roman"/>
          <w:color w:val="000000"/>
          <w:sz w:val="20"/>
          <w:szCs w:val="20"/>
          <w:lang w:val="en-US"/>
        </w:rPr>
        <w:t xml:space="preserve">, </w:t>
      </w:r>
      <w:r w:rsidRPr="00CC4502">
        <w:rPr>
          <w:rFonts w:eastAsia="Times New Roman"/>
          <w:color w:val="000000"/>
          <w:sz w:val="20"/>
          <w:szCs w:val="20"/>
          <w:lang w:val="en-US"/>
        </w:rPr>
        <w:t xml:space="preserve">TMP-SMX=sulfamethoxazole-trimethoprim; </w:t>
      </w:r>
      <w:r w:rsidRPr="00CC4502">
        <w:rPr>
          <w:rFonts w:eastAsia="Times New Roman"/>
          <w:i/>
          <w:iCs/>
          <w:color w:val="000000"/>
          <w:sz w:val="20"/>
          <w:szCs w:val="20"/>
          <w:lang w:val="en-US"/>
        </w:rPr>
        <w:t>Organisms (x-axis):</w:t>
      </w:r>
      <w:r w:rsidRPr="00CC4502">
        <w:rPr>
          <w:rFonts w:eastAsia="Times New Roman"/>
          <w:color w:val="000000"/>
          <w:sz w:val="20"/>
          <w:szCs w:val="20"/>
          <w:lang w:val="en-US"/>
        </w:rPr>
        <w:t xml:space="preserve"> EC=</w:t>
      </w:r>
      <w:r w:rsidRPr="00CC4502">
        <w:rPr>
          <w:rFonts w:eastAsia="Times New Roman"/>
          <w:i/>
          <w:iCs/>
          <w:color w:val="000000"/>
          <w:sz w:val="20"/>
          <w:szCs w:val="20"/>
          <w:lang w:val="en-US"/>
        </w:rPr>
        <w:t>E. coli</w:t>
      </w:r>
      <w:r w:rsidRPr="00CC4502">
        <w:rPr>
          <w:rFonts w:eastAsia="Times New Roman"/>
          <w:color w:val="000000"/>
          <w:sz w:val="20"/>
          <w:szCs w:val="20"/>
          <w:lang w:val="en-US"/>
        </w:rPr>
        <w:t>, HI=</w:t>
      </w:r>
      <w:r w:rsidRPr="00CC4502">
        <w:rPr>
          <w:rFonts w:eastAsia="Times New Roman"/>
          <w:i/>
          <w:iCs/>
          <w:color w:val="000000"/>
          <w:sz w:val="20"/>
          <w:szCs w:val="20"/>
          <w:lang w:val="en-US"/>
        </w:rPr>
        <w:t>H. influenzae</w:t>
      </w:r>
      <w:r w:rsidRPr="00CC4502">
        <w:rPr>
          <w:rFonts w:eastAsia="Times New Roman"/>
          <w:color w:val="000000"/>
          <w:sz w:val="20"/>
          <w:szCs w:val="20"/>
          <w:lang w:val="en-US"/>
        </w:rPr>
        <w:t>, KP=</w:t>
      </w:r>
      <w:r w:rsidRPr="00CC4502">
        <w:rPr>
          <w:rFonts w:eastAsia="Times New Roman"/>
          <w:i/>
          <w:iCs/>
          <w:color w:val="000000"/>
          <w:sz w:val="20"/>
          <w:szCs w:val="20"/>
          <w:lang w:val="en-US"/>
        </w:rPr>
        <w:t>K. pneumoniae</w:t>
      </w:r>
      <w:r w:rsidRPr="00CC4502">
        <w:rPr>
          <w:rFonts w:eastAsia="Times New Roman"/>
          <w:color w:val="000000"/>
          <w:sz w:val="20"/>
          <w:szCs w:val="20"/>
          <w:lang w:val="en-US"/>
        </w:rPr>
        <w:t>, MC=</w:t>
      </w:r>
      <w:r w:rsidRPr="00CC4502">
        <w:rPr>
          <w:rFonts w:eastAsia="Times New Roman"/>
          <w:i/>
          <w:iCs/>
          <w:color w:val="000000"/>
          <w:sz w:val="20"/>
          <w:szCs w:val="20"/>
          <w:lang w:val="en-US"/>
        </w:rPr>
        <w:t>M. catarrhalis</w:t>
      </w:r>
      <w:r w:rsidRPr="00CC4502">
        <w:rPr>
          <w:rFonts w:eastAsia="Times New Roman"/>
          <w:color w:val="000000"/>
          <w:sz w:val="20"/>
          <w:szCs w:val="20"/>
          <w:lang w:val="en-US"/>
        </w:rPr>
        <w:t>, PA=</w:t>
      </w:r>
      <w:r w:rsidRPr="00CC4502">
        <w:rPr>
          <w:rFonts w:eastAsia="Times New Roman"/>
          <w:i/>
          <w:iCs/>
          <w:color w:val="000000"/>
          <w:sz w:val="20"/>
          <w:szCs w:val="20"/>
          <w:lang w:val="en-US"/>
        </w:rPr>
        <w:t>P. aeruginosa</w:t>
      </w:r>
      <w:r w:rsidRPr="00CC4502">
        <w:rPr>
          <w:rFonts w:eastAsia="Times New Roman"/>
          <w:color w:val="000000"/>
          <w:sz w:val="20"/>
          <w:szCs w:val="20"/>
          <w:lang w:val="en-US"/>
        </w:rPr>
        <w:t>, SA=</w:t>
      </w:r>
      <w:r w:rsidRPr="00CC4502">
        <w:rPr>
          <w:rFonts w:eastAsia="Times New Roman"/>
          <w:i/>
          <w:iCs/>
          <w:color w:val="000000"/>
          <w:sz w:val="20"/>
          <w:szCs w:val="20"/>
          <w:lang w:val="en-US"/>
        </w:rPr>
        <w:t>S. aureus</w:t>
      </w:r>
      <w:r w:rsidRPr="00CC4502">
        <w:rPr>
          <w:rFonts w:eastAsia="Times New Roman"/>
          <w:color w:val="000000"/>
          <w:sz w:val="20"/>
          <w:szCs w:val="20"/>
          <w:lang w:val="en-US"/>
        </w:rPr>
        <w:t xml:space="preserve">, </w:t>
      </w:r>
      <w:proofErr w:type="spellStart"/>
      <w:r w:rsidRPr="00CC4502">
        <w:rPr>
          <w:rFonts w:eastAsia="Times New Roman"/>
          <w:color w:val="000000"/>
          <w:sz w:val="20"/>
          <w:szCs w:val="20"/>
          <w:lang w:val="en-US"/>
        </w:rPr>
        <w:t>SAg</w:t>
      </w:r>
      <w:proofErr w:type="spellEnd"/>
      <w:r w:rsidRPr="00CC4502">
        <w:rPr>
          <w:rFonts w:eastAsia="Times New Roman"/>
          <w:color w:val="000000"/>
          <w:sz w:val="20"/>
          <w:szCs w:val="20"/>
          <w:lang w:val="en-US"/>
        </w:rPr>
        <w:t>=</w:t>
      </w:r>
      <w:r w:rsidRPr="00CC4502">
        <w:rPr>
          <w:rFonts w:eastAsia="Times New Roman"/>
          <w:i/>
          <w:iCs/>
          <w:color w:val="000000"/>
          <w:sz w:val="20"/>
          <w:szCs w:val="20"/>
          <w:lang w:val="en-US"/>
        </w:rPr>
        <w:t>S. agalactiae</w:t>
      </w:r>
      <w:r w:rsidRPr="00CC4502">
        <w:rPr>
          <w:rFonts w:eastAsia="Times New Roman"/>
          <w:color w:val="000000"/>
          <w:sz w:val="20"/>
          <w:szCs w:val="20"/>
          <w:lang w:val="en-US"/>
        </w:rPr>
        <w:t>, SP=</w:t>
      </w:r>
      <w:r w:rsidRPr="00CC4502">
        <w:rPr>
          <w:rFonts w:eastAsia="Times New Roman"/>
          <w:i/>
          <w:iCs/>
          <w:color w:val="000000"/>
          <w:sz w:val="20"/>
          <w:szCs w:val="20"/>
          <w:lang w:val="en-US"/>
        </w:rPr>
        <w:t>S. pneumoniae</w:t>
      </w:r>
      <w:r w:rsidRPr="00CC4502">
        <w:rPr>
          <w:rFonts w:eastAsia="Times New Roman"/>
          <w:color w:val="000000"/>
          <w:sz w:val="20"/>
          <w:szCs w:val="20"/>
          <w:lang w:val="en-US"/>
        </w:rPr>
        <w:t xml:space="preserve">, </w:t>
      </w:r>
      <w:proofErr w:type="spellStart"/>
      <w:r w:rsidRPr="00CC4502">
        <w:rPr>
          <w:rFonts w:eastAsia="Times New Roman"/>
          <w:color w:val="000000"/>
          <w:sz w:val="20"/>
          <w:szCs w:val="20"/>
          <w:lang w:val="en-US"/>
        </w:rPr>
        <w:t>SPy</w:t>
      </w:r>
      <w:proofErr w:type="spellEnd"/>
      <w:r w:rsidRPr="00CC4502">
        <w:rPr>
          <w:rFonts w:eastAsia="Times New Roman"/>
          <w:color w:val="000000"/>
          <w:sz w:val="20"/>
          <w:szCs w:val="20"/>
          <w:lang w:val="en-US"/>
        </w:rPr>
        <w:t>=</w:t>
      </w:r>
      <w:r w:rsidRPr="00CC4502">
        <w:rPr>
          <w:rFonts w:eastAsia="Times New Roman"/>
          <w:i/>
          <w:iCs/>
          <w:color w:val="000000"/>
          <w:sz w:val="20"/>
          <w:szCs w:val="20"/>
          <w:lang w:val="en-US"/>
        </w:rPr>
        <w:t>S. pyogenes</w:t>
      </w:r>
      <w:r w:rsidRPr="00CC4502">
        <w:rPr>
          <w:rFonts w:eastAsia="Times New Roman"/>
          <w:iCs/>
          <w:color w:val="000000"/>
          <w:sz w:val="20"/>
          <w:szCs w:val="20"/>
          <w:lang w:val="en-US"/>
        </w:rPr>
        <w:t>; PY=person-years</w:t>
      </w:r>
    </w:p>
    <w:p w14:paraId="74D943A2" w14:textId="4CA893EF" w:rsidR="00C97302" w:rsidRDefault="00C97302">
      <w:pPr>
        <w:spacing w:line="240" w:lineRule="auto"/>
      </w:pPr>
      <w:r>
        <w:br w:type="page"/>
      </w:r>
      <w:bookmarkStart w:id="0" w:name="_GoBack"/>
      <w:bookmarkEnd w:id="0"/>
    </w:p>
    <w:p w14:paraId="7A400D17" w14:textId="721AF06E" w:rsidR="00EB60F5" w:rsidRDefault="00C97302">
      <w:pPr>
        <w:rPr>
          <w:b/>
          <w:bCs/>
          <w:sz w:val="24"/>
          <w:szCs w:val="24"/>
        </w:rPr>
      </w:pPr>
      <w:r w:rsidRPr="00C97302">
        <w:rPr>
          <w:b/>
          <w:bCs/>
          <w:sz w:val="24"/>
          <w:szCs w:val="24"/>
        </w:rPr>
        <w:lastRenderedPageBreak/>
        <w:t>References</w:t>
      </w:r>
    </w:p>
    <w:p w14:paraId="0E86A32D" w14:textId="5E2EA886" w:rsidR="00C97302" w:rsidRDefault="00C97302">
      <w:pPr>
        <w:rPr>
          <w:b/>
          <w:bCs/>
          <w:sz w:val="24"/>
          <w:szCs w:val="24"/>
        </w:rPr>
      </w:pPr>
    </w:p>
    <w:p w14:paraId="051F3FA2" w14:textId="77777777" w:rsidR="00C97302" w:rsidRPr="00C97302" w:rsidRDefault="00C97302" w:rsidP="00C97302">
      <w:pPr>
        <w:pStyle w:val="Bibliography"/>
        <w:rPr>
          <w:sz w:val="20"/>
          <w:szCs w:val="20"/>
        </w:rPr>
      </w:pPr>
      <w:r w:rsidRPr="00C97302">
        <w:rPr>
          <w:sz w:val="20"/>
          <w:szCs w:val="20"/>
        </w:rPr>
        <w:fldChar w:fldCharType="begin"/>
      </w:r>
      <w:r w:rsidRPr="00C97302">
        <w:rPr>
          <w:sz w:val="20"/>
          <w:szCs w:val="20"/>
        </w:rPr>
        <w:instrText xml:space="preserve"> ADDIN ZOTERO_BIBL {"uncited":[],"omitted":[],"custom":[]} CSL_BIBLIOGRAPHY </w:instrText>
      </w:r>
      <w:r w:rsidRPr="00C97302">
        <w:rPr>
          <w:sz w:val="20"/>
          <w:szCs w:val="20"/>
        </w:rPr>
        <w:fldChar w:fldCharType="separate"/>
      </w:r>
      <w:r w:rsidRPr="00C97302">
        <w:rPr>
          <w:sz w:val="20"/>
          <w:szCs w:val="20"/>
        </w:rPr>
        <w:t xml:space="preserve">Aitken, M., &amp; Taylor, J. A. (1998). Prevalence of Clinical Sinusitis in Young Children Followed Up by Primary Care Pediatricians. </w:t>
      </w:r>
      <w:r w:rsidRPr="00C97302">
        <w:rPr>
          <w:i/>
          <w:iCs/>
          <w:sz w:val="20"/>
          <w:szCs w:val="20"/>
        </w:rPr>
        <w:t>Archives of Pediatrics &amp; Adolescent Medicine</w:t>
      </w:r>
      <w:r w:rsidRPr="00C97302">
        <w:rPr>
          <w:sz w:val="20"/>
          <w:szCs w:val="20"/>
        </w:rPr>
        <w:t xml:space="preserve">, </w:t>
      </w:r>
      <w:r w:rsidRPr="00C97302">
        <w:rPr>
          <w:i/>
          <w:iCs/>
          <w:sz w:val="20"/>
          <w:szCs w:val="20"/>
        </w:rPr>
        <w:t>152</w:t>
      </w:r>
      <w:r w:rsidRPr="00C97302">
        <w:rPr>
          <w:sz w:val="20"/>
          <w:szCs w:val="20"/>
        </w:rPr>
        <w:t>(3), 244–248. https://doi.org/10.1001/archpedi.152.3.244</w:t>
      </w:r>
    </w:p>
    <w:p w14:paraId="1AD8E7BF" w14:textId="77777777" w:rsidR="00C97302" w:rsidRPr="00C97302" w:rsidRDefault="00C97302" w:rsidP="00C97302">
      <w:pPr>
        <w:pStyle w:val="Bibliography"/>
        <w:rPr>
          <w:sz w:val="20"/>
          <w:szCs w:val="20"/>
        </w:rPr>
      </w:pPr>
      <w:r w:rsidRPr="00C97302">
        <w:rPr>
          <w:sz w:val="20"/>
          <w:szCs w:val="20"/>
        </w:rPr>
        <w:t xml:space="preserve">Benninger, M. S., Holzer, S. E. S., &amp; Lau, J. (2000). Diagnosis and treatment of uncomplicated acute bacterial rhinosinusitis: Summary of the Agency for Health Care Policy and Research evidence-based report. </w:t>
      </w:r>
      <w:r w:rsidRPr="00C97302">
        <w:rPr>
          <w:i/>
          <w:iCs/>
          <w:sz w:val="20"/>
          <w:szCs w:val="20"/>
        </w:rPr>
        <w:t>Otolaryngology–Head and Neck Surgery</w:t>
      </w:r>
      <w:r w:rsidRPr="00C97302">
        <w:rPr>
          <w:sz w:val="20"/>
          <w:szCs w:val="20"/>
        </w:rPr>
        <w:t xml:space="preserve">, </w:t>
      </w:r>
      <w:r w:rsidRPr="00C97302">
        <w:rPr>
          <w:i/>
          <w:iCs/>
          <w:sz w:val="20"/>
          <w:szCs w:val="20"/>
        </w:rPr>
        <w:t>122</w:t>
      </w:r>
      <w:r w:rsidRPr="00C97302">
        <w:rPr>
          <w:sz w:val="20"/>
          <w:szCs w:val="20"/>
        </w:rPr>
        <w:t>(1), 1–7. https://doi.org/10.1016/S0194-5998(00)70135-5</w:t>
      </w:r>
    </w:p>
    <w:p w14:paraId="0E3F3F37" w14:textId="77777777" w:rsidR="00C97302" w:rsidRPr="00C97302" w:rsidRDefault="00C97302" w:rsidP="00C97302">
      <w:pPr>
        <w:pStyle w:val="Bibliography"/>
        <w:rPr>
          <w:sz w:val="20"/>
          <w:szCs w:val="20"/>
        </w:rPr>
      </w:pPr>
      <w:r w:rsidRPr="00C97302">
        <w:rPr>
          <w:sz w:val="20"/>
          <w:szCs w:val="20"/>
        </w:rPr>
        <w:t xml:space="preserve">Fleming-Dutra, K. E., Hersh, A. L., Shapiro, D. J., </w:t>
      </w:r>
      <w:proofErr w:type="spellStart"/>
      <w:r w:rsidRPr="00C97302">
        <w:rPr>
          <w:sz w:val="20"/>
          <w:szCs w:val="20"/>
        </w:rPr>
        <w:t>Bartoces</w:t>
      </w:r>
      <w:proofErr w:type="spellEnd"/>
      <w:r w:rsidRPr="00C97302">
        <w:rPr>
          <w:sz w:val="20"/>
          <w:szCs w:val="20"/>
        </w:rPr>
        <w:t xml:space="preserve">, M., Enns, E. A., File, T. M., … Hicks, L. A. (2016). Prevalence of Inappropriate Antibiotic Prescriptions Among US Ambulatory Care Visits, 2010-2011. </w:t>
      </w:r>
      <w:r w:rsidRPr="00C97302">
        <w:rPr>
          <w:i/>
          <w:iCs/>
          <w:sz w:val="20"/>
          <w:szCs w:val="20"/>
        </w:rPr>
        <w:t>JAMA</w:t>
      </w:r>
      <w:r w:rsidRPr="00C97302">
        <w:rPr>
          <w:sz w:val="20"/>
          <w:szCs w:val="20"/>
        </w:rPr>
        <w:t xml:space="preserve">, </w:t>
      </w:r>
      <w:r w:rsidRPr="00C97302">
        <w:rPr>
          <w:i/>
          <w:iCs/>
          <w:sz w:val="20"/>
          <w:szCs w:val="20"/>
        </w:rPr>
        <w:t>315</w:t>
      </w:r>
      <w:r w:rsidRPr="00C97302">
        <w:rPr>
          <w:sz w:val="20"/>
          <w:szCs w:val="20"/>
        </w:rPr>
        <w:t>(17), 1864–1873. https://doi.org/10.1001/jama.2016.4151</w:t>
      </w:r>
    </w:p>
    <w:p w14:paraId="2B68D6A1" w14:textId="77777777" w:rsidR="00C97302" w:rsidRPr="00C97302" w:rsidRDefault="00C97302" w:rsidP="00C97302">
      <w:pPr>
        <w:pStyle w:val="Bibliography"/>
        <w:rPr>
          <w:sz w:val="20"/>
          <w:szCs w:val="20"/>
        </w:rPr>
      </w:pPr>
      <w:r w:rsidRPr="00C97302">
        <w:rPr>
          <w:sz w:val="20"/>
          <w:szCs w:val="20"/>
        </w:rPr>
        <w:t xml:space="preserve">Sande, M. A., &amp; Gwaltney, J. M. (2004). Acute Community-Acquired Bacterial Sinusitis: Continuing Challenges and Current Management. </w:t>
      </w:r>
      <w:r w:rsidRPr="00C97302">
        <w:rPr>
          <w:i/>
          <w:iCs/>
          <w:sz w:val="20"/>
          <w:szCs w:val="20"/>
        </w:rPr>
        <w:t>Clinical Infectious Diseases</w:t>
      </w:r>
      <w:r w:rsidRPr="00C97302">
        <w:rPr>
          <w:sz w:val="20"/>
          <w:szCs w:val="20"/>
        </w:rPr>
        <w:t xml:space="preserve">, </w:t>
      </w:r>
      <w:r w:rsidRPr="00C97302">
        <w:rPr>
          <w:i/>
          <w:iCs/>
          <w:sz w:val="20"/>
          <w:szCs w:val="20"/>
        </w:rPr>
        <w:t>39</w:t>
      </w:r>
      <w:r w:rsidRPr="00C97302">
        <w:rPr>
          <w:sz w:val="20"/>
          <w:szCs w:val="20"/>
        </w:rPr>
        <w:t>, S151–S158. https://doi.org/10.1086/421353</w:t>
      </w:r>
    </w:p>
    <w:p w14:paraId="6FFEBA6C" w14:textId="77777777" w:rsidR="00C97302" w:rsidRPr="00C97302" w:rsidRDefault="00C97302" w:rsidP="00C97302">
      <w:pPr>
        <w:pStyle w:val="Bibliography"/>
        <w:rPr>
          <w:sz w:val="20"/>
          <w:szCs w:val="20"/>
        </w:rPr>
      </w:pPr>
      <w:r w:rsidRPr="00C97302">
        <w:rPr>
          <w:sz w:val="20"/>
          <w:szCs w:val="20"/>
        </w:rPr>
        <w:t xml:space="preserve">Snow, V., </w:t>
      </w:r>
      <w:proofErr w:type="spellStart"/>
      <w:r w:rsidRPr="00C97302">
        <w:rPr>
          <w:sz w:val="20"/>
          <w:szCs w:val="20"/>
        </w:rPr>
        <w:t>Mottur-Pilson</w:t>
      </w:r>
      <w:proofErr w:type="spellEnd"/>
      <w:r w:rsidRPr="00C97302">
        <w:rPr>
          <w:sz w:val="20"/>
          <w:szCs w:val="20"/>
        </w:rPr>
        <w:t xml:space="preserve">, C., &amp; Hickner, J. M. (2001). Principles of Appropriate Antibiotic Use for Acute Sinusitis in Adults. </w:t>
      </w:r>
      <w:r w:rsidRPr="00C97302">
        <w:rPr>
          <w:i/>
          <w:iCs/>
          <w:sz w:val="20"/>
          <w:szCs w:val="20"/>
        </w:rPr>
        <w:t>Annals of Internal Medicine</w:t>
      </w:r>
      <w:r w:rsidRPr="00C97302">
        <w:rPr>
          <w:sz w:val="20"/>
          <w:szCs w:val="20"/>
        </w:rPr>
        <w:t xml:space="preserve">, </w:t>
      </w:r>
      <w:r w:rsidRPr="00C97302">
        <w:rPr>
          <w:i/>
          <w:iCs/>
          <w:sz w:val="20"/>
          <w:szCs w:val="20"/>
        </w:rPr>
        <w:t>134</w:t>
      </w:r>
      <w:r w:rsidRPr="00C97302">
        <w:rPr>
          <w:sz w:val="20"/>
          <w:szCs w:val="20"/>
        </w:rPr>
        <w:t>(6), 495. https://doi.org/10.7326/0003-4819-134-6-200103200-00016</w:t>
      </w:r>
    </w:p>
    <w:p w14:paraId="1A42BC92" w14:textId="77777777" w:rsidR="00C97302" w:rsidRPr="00C97302" w:rsidRDefault="00C97302" w:rsidP="00C97302">
      <w:pPr>
        <w:pStyle w:val="Bibliography"/>
        <w:rPr>
          <w:sz w:val="20"/>
          <w:szCs w:val="20"/>
        </w:rPr>
      </w:pPr>
      <w:r w:rsidRPr="00C97302">
        <w:rPr>
          <w:sz w:val="20"/>
          <w:szCs w:val="20"/>
        </w:rPr>
        <w:t xml:space="preserve">Wald, E. R., Guerra, N., &amp; Byers, C. (1991). Upper Respiratory Tract Infections in Young Children: Duration of and Frequency of Complications. </w:t>
      </w:r>
      <w:r w:rsidRPr="00C97302">
        <w:rPr>
          <w:i/>
          <w:iCs/>
          <w:sz w:val="20"/>
          <w:szCs w:val="20"/>
        </w:rPr>
        <w:t>Pediatrics</w:t>
      </w:r>
      <w:r w:rsidRPr="00C97302">
        <w:rPr>
          <w:sz w:val="20"/>
          <w:szCs w:val="20"/>
        </w:rPr>
        <w:t xml:space="preserve">, </w:t>
      </w:r>
      <w:r w:rsidRPr="00C97302">
        <w:rPr>
          <w:i/>
          <w:iCs/>
          <w:sz w:val="20"/>
          <w:szCs w:val="20"/>
        </w:rPr>
        <w:t>87</w:t>
      </w:r>
      <w:r w:rsidRPr="00C97302">
        <w:rPr>
          <w:sz w:val="20"/>
          <w:szCs w:val="20"/>
        </w:rPr>
        <w:t>(2), 129–133.</w:t>
      </w:r>
    </w:p>
    <w:p w14:paraId="0D48DFEB" w14:textId="77777777" w:rsidR="00C97302" w:rsidRPr="00C97302" w:rsidRDefault="00C97302" w:rsidP="00C97302">
      <w:pPr>
        <w:pStyle w:val="Bibliography"/>
        <w:rPr>
          <w:sz w:val="20"/>
          <w:szCs w:val="20"/>
        </w:rPr>
      </w:pPr>
      <w:r w:rsidRPr="00C97302">
        <w:rPr>
          <w:sz w:val="20"/>
          <w:szCs w:val="20"/>
        </w:rPr>
        <w:t xml:space="preserve">Williams, J. W., </w:t>
      </w:r>
      <w:proofErr w:type="spellStart"/>
      <w:r w:rsidRPr="00C97302">
        <w:rPr>
          <w:sz w:val="20"/>
          <w:szCs w:val="20"/>
        </w:rPr>
        <w:t>Simel</w:t>
      </w:r>
      <w:proofErr w:type="spellEnd"/>
      <w:r w:rsidRPr="00C97302">
        <w:rPr>
          <w:sz w:val="20"/>
          <w:szCs w:val="20"/>
        </w:rPr>
        <w:t xml:space="preserve">, D. L., Roberts, L., &amp; </w:t>
      </w:r>
      <w:proofErr w:type="spellStart"/>
      <w:r w:rsidRPr="00C97302">
        <w:rPr>
          <w:sz w:val="20"/>
          <w:szCs w:val="20"/>
        </w:rPr>
        <w:t>Samsa</w:t>
      </w:r>
      <w:proofErr w:type="spellEnd"/>
      <w:r w:rsidRPr="00C97302">
        <w:rPr>
          <w:sz w:val="20"/>
          <w:szCs w:val="20"/>
        </w:rPr>
        <w:t xml:space="preserve">, G. P. (1992). Clinical Evaluation for Sinusitis. </w:t>
      </w:r>
      <w:r w:rsidRPr="00C97302">
        <w:rPr>
          <w:i/>
          <w:iCs/>
          <w:sz w:val="20"/>
          <w:szCs w:val="20"/>
        </w:rPr>
        <w:t>Annals of Internal Medicine</w:t>
      </w:r>
      <w:r w:rsidRPr="00C97302">
        <w:rPr>
          <w:sz w:val="20"/>
          <w:szCs w:val="20"/>
        </w:rPr>
        <w:t xml:space="preserve">, </w:t>
      </w:r>
      <w:r w:rsidRPr="00C97302">
        <w:rPr>
          <w:i/>
          <w:iCs/>
          <w:sz w:val="20"/>
          <w:szCs w:val="20"/>
        </w:rPr>
        <w:t>117</w:t>
      </w:r>
      <w:r w:rsidRPr="00C97302">
        <w:rPr>
          <w:sz w:val="20"/>
          <w:szCs w:val="20"/>
        </w:rPr>
        <w:t>(9), 705–710. https://doi.org/10.7326/0003-4819-117-9-705</w:t>
      </w:r>
    </w:p>
    <w:p w14:paraId="3F03F8D8" w14:textId="3616F964" w:rsidR="00C97302" w:rsidRPr="00C97302" w:rsidRDefault="00C97302">
      <w:pPr>
        <w:rPr>
          <w:sz w:val="24"/>
          <w:szCs w:val="24"/>
        </w:rPr>
      </w:pPr>
      <w:r w:rsidRPr="00C97302">
        <w:rPr>
          <w:sz w:val="20"/>
          <w:szCs w:val="20"/>
        </w:rPr>
        <w:fldChar w:fldCharType="end"/>
      </w:r>
    </w:p>
    <w:sectPr w:rsidR="00C97302" w:rsidRPr="00C97302" w:rsidSect="00F607A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A6D158" w14:textId="77777777" w:rsidR="006B00C6" w:rsidRDefault="006B00C6" w:rsidP="00C97302">
      <w:pPr>
        <w:spacing w:line="240" w:lineRule="auto"/>
      </w:pPr>
      <w:r>
        <w:separator/>
      </w:r>
    </w:p>
  </w:endnote>
  <w:endnote w:type="continuationSeparator" w:id="0">
    <w:p w14:paraId="53DF84A6" w14:textId="77777777" w:rsidR="006B00C6" w:rsidRDefault="006B00C6" w:rsidP="00C9730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9F203E" w14:textId="77777777" w:rsidR="006B00C6" w:rsidRDefault="006B00C6" w:rsidP="00C97302">
      <w:pPr>
        <w:spacing w:line="240" w:lineRule="auto"/>
      </w:pPr>
      <w:r>
        <w:separator/>
      </w:r>
    </w:p>
  </w:footnote>
  <w:footnote w:type="continuationSeparator" w:id="0">
    <w:p w14:paraId="3F8638F6" w14:textId="77777777" w:rsidR="006B00C6" w:rsidRDefault="006B00C6" w:rsidP="00C97302">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7302"/>
    <w:rsid w:val="00001730"/>
    <w:rsid w:val="00001FD9"/>
    <w:rsid w:val="000147DB"/>
    <w:rsid w:val="0001662F"/>
    <w:rsid w:val="000204E1"/>
    <w:rsid w:val="00042999"/>
    <w:rsid w:val="00084292"/>
    <w:rsid w:val="00085A24"/>
    <w:rsid w:val="00096841"/>
    <w:rsid w:val="000D6F5D"/>
    <w:rsid w:val="000F5B01"/>
    <w:rsid w:val="00111462"/>
    <w:rsid w:val="0012267C"/>
    <w:rsid w:val="00130760"/>
    <w:rsid w:val="00131AC2"/>
    <w:rsid w:val="00156191"/>
    <w:rsid w:val="00170362"/>
    <w:rsid w:val="00182998"/>
    <w:rsid w:val="001C4F1D"/>
    <w:rsid w:val="001F5110"/>
    <w:rsid w:val="00200041"/>
    <w:rsid w:val="002020F9"/>
    <w:rsid w:val="00234DD5"/>
    <w:rsid w:val="00242346"/>
    <w:rsid w:val="002704A6"/>
    <w:rsid w:val="002752A0"/>
    <w:rsid w:val="00283969"/>
    <w:rsid w:val="00287541"/>
    <w:rsid w:val="002B16D6"/>
    <w:rsid w:val="002B4DF4"/>
    <w:rsid w:val="002C5453"/>
    <w:rsid w:val="002D7FC4"/>
    <w:rsid w:val="003337AE"/>
    <w:rsid w:val="003466FE"/>
    <w:rsid w:val="00350B52"/>
    <w:rsid w:val="00361B3A"/>
    <w:rsid w:val="00366A36"/>
    <w:rsid w:val="0037629F"/>
    <w:rsid w:val="00386098"/>
    <w:rsid w:val="003A11CE"/>
    <w:rsid w:val="003B14C3"/>
    <w:rsid w:val="003B3DE4"/>
    <w:rsid w:val="003C5E89"/>
    <w:rsid w:val="003F2744"/>
    <w:rsid w:val="00404800"/>
    <w:rsid w:val="004127F2"/>
    <w:rsid w:val="0044480C"/>
    <w:rsid w:val="00484AFB"/>
    <w:rsid w:val="00490D67"/>
    <w:rsid w:val="0049440D"/>
    <w:rsid w:val="004A481C"/>
    <w:rsid w:val="004B4DEC"/>
    <w:rsid w:val="004F4D3A"/>
    <w:rsid w:val="00517B55"/>
    <w:rsid w:val="00527858"/>
    <w:rsid w:val="0053051C"/>
    <w:rsid w:val="00530A71"/>
    <w:rsid w:val="00551F53"/>
    <w:rsid w:val="00561C32"/>
    <w:rsid w:val="005714A3"/>
    <w:rsid w:val="00580294"/>
    <w:rsid w:val="005830AD"/>
    <w:rsid w:val="005B3729"/>
    <w:rsid w:val="00602898"/>
    <w:rsid w:val="00606D73"/>
    <w:rsid w:val="00627A42"/>
    <w:rsid w:val="0064220B"/>
    <w:rsid w:val="00653C8B"/>
    <w:rsid w:val="0067313E"/>
    <w:rsid w:val="00676B35"/>
    <w:rsid w:val="006823ED"/>
    <w:rsid w:val="00682C65"/>
    <w:rsid w:val="00691964"/>
    <w:rsid w:val="006A1718"/>
    <w:rsid w:val="006A1724"/>
    <w:rsid w:val="006A7578"/>
    <w:rsid w:val="006B00C6"/>
    <w:rsid w:val="006B554C"/>
    <w:rsid w:val="006C70FE"/>
    <w:rsid w:val="006C7CAE"/>
    <w:rsid w:val="006D2DA6"/>
    <w:rsid w:val="006D3368"/>
    <w:rsid w:val="006E3168"/>
    <w:rsid w:val="006E7BE9"/>
    <w:rsid w:val="006F1980"/>
    <w:rsid w:val="006F236E"/>
    <w:rsid w:val="0071435C"/>
    <w:rsid w:val="007230D8"/>
    <w:rsid w:val="00732CDA"/>
    <w:rsid w:val="00735022"/>
    <w:rsid w:val="007370BF"/>
    <w:rsid w:val="00743265"/>
    <w:rsid w:val="00770C8D"/>
    <w:rsid w:val="00780383"/>
    <w:rsid w:val="0078213F"/>
    <w:rsid w:val="007C2933"/>
    <w:rsid w:val="007D3EBF"/>
    <w:rsid w:val="007D40A8"/>
    <w:rsid w:val="007D768D"/>
    <w:rsid w:val="00825E2E"/>
    <w:rsid w:val="008268CD"/>
    <w:rsid w:val="00831495"/>
    <w:rsid w:val="008336B4"/>
    <w:rsid w:val="00833821"/>
    <w:rsid w:val="00844986"/>
    <w:rsid w:val="008973A0"/>
    <w:rsid w:val="008A47A0"/>
    <w:rsid w:val="008B72CB"/>
    <w:rsid w:val="008D3ED0"/>
    <w:rsid w:val="009035B1"/>
    <w:rsid w:val="009243FB"/>
    <w:rsid w:val="00925CA3"/>
    <w:rsid w:val="00936146"/>
    <w:rsid w:val="00936758"/>
    <w:rsid w:val="00964030"/>
    <w:rsid w:val="009731F5"/>
    <w:rsid w:val="009A331B"/>
    <w:rsid w:val="009B7F2D"/>
    <w:rsid w:val="009D2608"/>
    <w:rsid w:val="009D67BD"/>
    <w:rsid w:val="00A01772"/>
    <w:rsid w:val="00A135F9"/>
    <w:rsid w:val="00A1695D"/>
    <w:rsid w:val="00A2310A"/>
    <w:rsid w:val="00A3249A"/>
    <w:rsid w:val="00A453D7"/>
    <w:rsid w:val="00A50666"/>
    <w:rsid w:val="00A83A5D"/>
    <w:rsid w:val="00A90C67"/>
    <w:rsid w:val="00A95455"/>
    <w:rsid w:val="00AB7792"/>
    <w:rsid w:val="00AC0796"/>
    <w:rsid w:val="00AC2908"/>
    <w:rsid w:val="00AF6F35"/>
    <w:rsid w:val="00B01E65"/>
    <w:rsid w:val="00B04A9F"/>
    <w:rsid w:val="00B115FC"/>
    <w:rsid w:val="00B13ED8"/>
    <w:rsid w:val="00B14872"/>
    <w:rsid w:val="00B55A01"/>
    <w:rsid w:val="00B746A6"/>
    <w:rsid w:val="00B75788"/>
    <w:rsid w:val="00B82A4D"/>
    <w:rsid w:val="00BA19F4"/>
    <w:rsid w:val="00BB522C"/>
    <w:rsid w:val="00BB7DA4"/>
    <w:rsid w:val="00BD0E92"/>
    <w:rsid w:val="00BD3154"/>
    <w:rsid w:val="00BD4D4B"/>
    <w:rsid w:val="00BE467B"/>
    <w:rsid w:val="00BF5D81"/>
    <w:rsid w:val="00C04877"/>
    <w:rsid w:val="00C173E5"/>
    <w:rsid w:val="00C31BF5"/>
    <w:rsid w:val="00C3454F"/>
    <w:rsid w:val="00C6129E"/>
    <w:rsid w:val="00C630FF"/>
    <w:rsid w:val="00C72224"/>
    <w:rsid w:val="00C820DA"/>
    <w:rsid w:val="00C83BE1"/>
    <w:rsid w:val="00C97302"/>
    <w:rsid w:val="00CE174F"/>
    <w:rsid w:val="00CE4BE6"/>
    <w:rsid w:val="00D05894"/>
    <w:rsid w:val="00D5563C"/>
    <w:rsid w:val="00D612EB"/>
    <w:rsid w:val="00D62F71"/>
    <w:rsid w:val="00D67E76"/>
    <w:rsid w:val="00D80623"/>
    <w:rsid w:val="00D83C18"/>
    <w:rsid w:val="00D872A2"/>
    <w:rsid w:val="00DA7C81"/>
    <w:rsid w:val="00DC35C9"/>
    <w:rsid w:val="00DD4E7C"/>
    <w:rsid w:val="00DD7325"/>
    <w:rsid w:val="00DE6C26"/>
    <w:rsid w:val="00DF0075"/>
    <w:rsid w:val="00DF71C6"/>
    <w:rsid w:val="00E061B9"/>
    <w:rsid w:val="00E24DA1"/>
    <w:rsid w:val="00E47D75"/>
    <w:rsid w:val="00E53A09"/>
    <w:rsid w:val="00E5466E"/>
    <w:rsid w:val="00E57348"/>
    <w:rsid w:val="00E85C6B"/>
    <w:rsid w:val="00EA00F0"/>
    <w:rsid w:val="00EB705A"/>
    <w:rsid w:val="00EC74C5"/>
    <w:rsid w:val="00F20C92"/>
    <w:rsid w:val="00F32943"/>
    <w:rsid w:val="00F42D0F"/>
    <w:rsid w:val="00F46B55"/>
    <w:rsid w:val="00F607A5"/>
    <w:rsid w:val="00F91CA4"/>
    <w:rsid w:val="00F9298E"/>
    <w:rsid w:val="00FA2740"/>
    <w:rsid w:val="00FC0557"/>
    <w:rsid w:val="00FC2409"/>
    <w:rsid w:val="00FC2D0C"/>
    <w:rsid w:val="00FC34F5"/>
    <w:rsid w:val="00FD363B"/>
    <w:rsid w:val="00FF4E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297CC2E"/>
  <w14:defaultImageDpi w14:val="32767"/>
  <w15:chartTrackingRefBased/>
  <w15:docId w15:val="{8BD9CCD9-7BC5-0143-8D23-E357C2DD85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C97302"/>
    <w:pPr>
      <w:spacing w:line="276" w:lineRule="auto"/>
    </w:pPr>
    <w:rPr>
      <w:rFonts w:ascii="Arial" w:eastAsia="Arial" w:hAnsi="Arial" w:cs="Arial"/>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97302"/>
    <w:pPr>
      <w:tabs>
        <w:tab w:val="center" w:pos="4680"/>
        <w:tab w:val="right" w:pos="9360"/>
      </w:tabs>
      <w:spacing w:line="240" w:lineRule="auto"/>
    </w:pPr>
  </w:style>
  <w:style w:type="character" w:customStyle="1" w:styleId="HeaderChar">
    <w:name w:val="Header Char"/>
    <w:basedOn w:val="DefaultParagraphFont"/>
    <w:link w:val="Header"/>
    <w:uiPriority w:val="99"/>
    <w:rsid w:val="00C97302"/>
    <w:rPr>
      <w:rFonts w:ascii="Arial" w:eastAsia="Arial" w:hAnsi="Arial" w:cs="Arial"/>
      <w:sz w:val="22"/>
      <w:szCs w:val="22"/>
      <w:lang w:val="en"/>
    </w:rPr>
  </w:style>
  <w:style w:type="paragraph" w:styleId="Footer">
    <w:name w:val="footer"/>
    <w:basedOn w:val="Normal"/>
    <w:link w:val="FooterChar"/>
    <w:uiPriority w:val="99"/>
    <w:unhideWhenUsed/>
    <w:rsid w:val="00C97302"/>
    <w:pPr>
      <w:tabs>
        <w:tab w:val="center" w:pos="4680"/>
        <w:tab w:val="right" w:pos="9360"/>
      </w:tabs>
      <w:spacing w:line="240" w:lineRule="auto"/>
    </w:pPr>
  </w:style>
  <w:style w:type="character" w:customStyle="1" w:styleId="FooterChar">
    <w:name w:val="Footer Char"/>
    <w:basedOn w:val="DefaultParagraphFont"/>
    <w:link w:val="Footer"/>
    <w:uiPriority w:val="99"/>
    <w:rsid w:val="00C97302"/>
    <w:rPr>
      <w:rFonts w:ascii="Arial" w:eastAsia="Arial" w:hAnsi="Arial" w:cs="Arial"/>
      <w:sz w:val="22"/>
      <w:szCs w:val="22"/>
      <w:lang w:val="en"/>
    </w:rPr>
  </w:style>
  <w:style w:type="paragraph" w:styleId="Bibliography">
    <w:name w:val="Bibliography"/>
    <w:basedOn w:val="Normal"/>
    <w:next w:val="Normal"/>
    <w:uiPriority w:val="37"/>
    <w:unhideWhenUsed/>
    <w:rsid w:val="00C97302"/>
    <w:pPr>
      <w:spacing w:line="480" w:lineRule="auto"/>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2035</Words>
  <Characters>11602</Characters>
  <Application>Microsoft Office Word</Application>
  <DocSecurity>0</DocSecurity>
  <Lines>96</Lines>
  <Paragraphs>27</Paragraphs>
  <ScaleCrop>false</ScaleCrop>
  <Company/>
  <LinksUpToDate>false</LinksUpToDate>
  <CharactersWithSpaces>13610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Tedijanto, Christine Renata</dc:creator>
  <cp:keywords/>
  <dc:description/>
  <cp:lastModifiedBy>Tedijanto, Christine Renata</cp:lastModifiedBy>
  <cp:revision>1</cp:revision>
  <dcterms:created xsi:type="dcterms:W3CDTF">2020-01-23T15:34:00Z</dcterms:created>
  <dcterms:modified xsi:type="dcterms:W3CDTF">2020-01-23T15:35:00Z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zotero-version="5.0.81"&gt;&lt;session id="3fWH81VV"/&gt;&lt;style id="http://www.zotero.org/styles/apa-6th-edition" locale="en-US" hasBibliography="1" bibliographyStyleHasBeenSet="1"/&gt;&lt;prefs&gt;&lt;pref name="fieldType" value="Field"/&gt;&lt;pref name="au</vt:lpwstr>
  </property>
  <property fmtid="{D5CDD505-2E9C-101B-9397-08002B2CF9AE}" pid="3" name="ZOTERO_PREF_2">
    <vt:lpwstr>tomaticJournalAbbreviations" value="true"/&gt;&lt;/prefs&gt;&lt;/data&gt;</vt:lpwstr>
  </property>
</Properties>
</file>