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XSpec="center" w:tblpY="2869"/>
        <w:tblW w:w="10729" w:type="dxa"/>
        <w:tblLook w:val="04A0" w:firstRow="1" w:lastRow="0" w:firstColumn="1" w:lastColumn="0" w:noHBand="0" w:noVBand="1"/>
      </w:tblPr>
      <w:tblGrid>
        <w:gridCol w:w="1532"/>
        <w:gridCol w:w="1532"/>
        <w:gridCol w:w="1533"/>
        <w:gridCol w:w="1533"/>
        <w:gridCol w:w="1533"/>
        <w:gridCol w:w="1533"/>
        <w:gridCol w:w="1533"/>
      </w:tblGrid>
      <w:tr w:rsidR="00705A1F" w:rsidTr="00425AF0">
        <w:trPr>
          <w:trHeight w:val="806"/>
        </w:trPr>
        <w:tc>
          <w:tcPr>
            <w:tcW w:w="1532" w:type="dxa"/>
            <w:shd w:val="pct25" w:color="auto" w:fill="auto"/>
          </w:tcPr>
          <w:p w:rsidR="00705A1F" w:rsidRPr="00705A1F" w:rsidRDefault="00705A1F" w:rsidP="00425AF0">
            <w:pPr>
              <w:jc w:val="center"/>
              <w:rPr>
                <w:rFonts w:ascii="Arial" w:hAnsi="Arial" w:cs="Arial"/>
                <w:b/>
              </w:rPr>
            </w:pPr>
            <w:r w:rsidRPr="00705A1F">
              <w:rPr>
                <w:rFonts w:ascii="Arial" w:hAnsi="Arial" w:cs="Arial"/>
                <w:b/>
                <w:sz w:val="20"/>
              </w:rPr>
              <w:t>Groups (n=3)</w:t>
            </w:r>
          </w:p>
        </w:tc>
        <w:tc>
          <w:tcPr>
            <w:tcW w:w="1532" w:type="dxa"/>
            <w:shd w:val="pct10" w:color="auto" w:fill="auto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NeuN</w:t>
            </w:r>
            <w:proofErr w:type="spellEnd"/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NeuN</w:t>
            </w:r>
            <w:proofErr w:type="spellEnd"/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</w:p>
        </w:tc>
        <w:tc>
          <w:tcPr>
            <w:tcW w:w="1533" w:type="dxa"/>
            <w:shd w:val="pct10" w:color="auto" w:fill="auto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NeuN</w:t>
            </w:r>
            <w:proofErr w:type="spellEnd"/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/ 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</w:p>
        </w:tc>
        <w:tc>
          <w:tcPr>
            <w:tcW w:w="1533" w:type="dxa"/>
            <w:shd w:val="pct10" w:color="auto" w:fill="auto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NeuN</w:t>
            </w:r>
            <w:proofErr w:type="spellEnd"/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/ DAPI</w:t>
            </w:r>
            <w:r w:rsidR="00970266"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</w:p>
        </w:tc>
        <w:tc>
          <w:tcPr>
            <w:tcW w:w="1533" w:type="dxa"/>
            <w:shd w:val="pct10" w:color="auto" w:fill="auto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Sox9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/ Sox9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</w:p>
        </w:tc>
        <w:tc>
          <w:tcPr>
            <w:tcW w:w="1533" w:type="dxa"/>
            <w:shd w:val="pct10" w:color="auto" w:fill="auto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Sox9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/ 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</w:p>
        </w:tc>
        <w:tc>
          <w:tcPr>
            <w:tcW w:w="1533" w:type="dxa"/>
            <w:shd w:val="pct10" w:color="auto" w:fill="auto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V5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Sox9</w:t>
            </w:r>
            <w:r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/ DAPI</w:t>
            </w:r>
            <w:r w:rsidR="00970266" w:rsidRPr="00970266">
              <w:rPr>
                <w:rFonts w:ascii="Arial" w:hAnsi="Arial" w:cs="Arial"/>
                <w:b/>
                <w:sz w:val="20"/>
                <w:vertAlign w:val="superscript"/>
              </w:rPr>
              <w:t>+</w:t>
            </w:r>
          </w:p>
        </w:tc>
      </w:tr>
      <w:tr w:rsidR="00705A1F" w:rsidTr="00425AF0">
        <w:trPr>
          <w:trHeight w:val="594"/>
        </w:trPr>
        <w:tc>
          <w:tcPr>
            <w:tcW w:w="1532" w:type="dxa"/>
            <w:shd w:val="pct25" w:color="auto" w:fill="auto"/>
          </w:tcPr>
          <w:p w:rsidR="00705A1F" w:rsidRPr="002F0548" w:rsidRDefault="00705A1F" w:rsidP="00425AF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F0548">
              <w:rPr>
                <w:rFonts w:ascii="Arial" w:hAnsi="Arial" w:cs="Arial"/>
                <w:b/>
                <w:sz w:val="18"/>
              </w:rPr>
              <w:t>KO-iMecp2 (10</w:t>
            </w:r>
            <w:r w:rsidRPr="002F0548">
              <w:rPr>
                <w:rFonts w:ascii="Arial" w:hAnsi="Arial" w:cs="Arial"/>
                <w:b/>
                <w:sz w:val="18"/>
                <w:vertAlign w:val="superscript"/>
              </w:rPr>
              <w:t xml:space="preserve">9 </w:t>
            </w:r>
            <w:r w:rsidRPr="002F0548">
              <w:rPr>
                <w:rFonts w:ascii="Arial" w:hAnsi="Arial" w:cs="Arial"/>
                <w:b/>
                <w:sz w:val="18"/>
              </w:rPr>
              <w:t>vg)</w:t>
            </w:r>
          </w:p>
        </w:tc>
        <w:tc>
          <w:tcPr>
            <w:tcW w:w="1532" w:type="dxa"/>
          </w:tcPr>
          <w:p w:rsidR="00705A1F" w:rsidRPr="00705A1F" w:rsidRDefault="00D0564F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5,4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6,8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Pr="00705A1F" w:rsidRDefault="006E3BA6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26,2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12,7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533" w:type="dxa"/>
          </w:tcPr>
          <w:p w:rsidR="00705A1F" w:rsidRPr="00705A1F" w:rsidRDefault="00705A1F" w:rsidP="00425AF0">
            <w:pPr>
              <w:jc w:val="center"/>
              <w:rPr>
                <w:sz w:val="18"/>
              </w:rPr>
            </w:pPr>
            <w:r w:rsidRPr="00705A1F">
              <w:rPr>
                <w:rFonts w:ascii="Arial" w:hAnsi="Arial" w:cs="Arial"/>
                <w:sz w:val="18"/>
              </w:rPr>
              <w:t>3,4</w:t>
            </w:r>
            <w:r w:rsidR="006E3BA6">
              <w:rPr>
                <w:rFonts w:ascii="Arial" w:hAnsi="Arial" w:cs="Arial"/>
                <w:sz w:val="18"/>
              </w:rPr>
              <w:t>%</w:t>
            </w:r>
            <w:r w:rsidR="009C2C59">
              <w:rPr>
                <w:rFonts w:ascii="Arial" w:hAnsi="Arial" w:cs="Arial"/>
                <w:sz w:val="18"/>
              </w:rPr>
              <w:t xml:space="preserve"> </w:t>
            </w:r>
            <w:r w:rsidR="009C2C59" w:rsidRPr="00EC00CA">
              <w:rPr>
                <w:rFonts w:ascii="Arial" w:hAnsi="Arial" w:cs="Arial"/>
                <w:sz w:val="18"/>
              </w:rPr>
              <w:t>±</w:t>
            </w:r>
            <w:r w:rsidR="009C2C59">
              <w:rPr>
                <w:rFonts w:ascii="Arial" w:hAnsi="Arial" w:cs="Arial"/>
                <w:sz w:val="18"/>
              </w:rPr>
              <w:t xml:space="preserve"> 1,9</w:t>
            </w:r>
            <w:r w:rsidR="009C2C5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D0564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38,6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12,0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6E3BA6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36,6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9,3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6,2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2,0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  <w:r w:rsidRPr="00705A1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705A1F" w:rsidTr="00425AF0">
        <w:trPr>
          <w:trHeight w:val="594"/>
        </w:trPr>
        <w:tc>
          <w:tcPr>
            <w:tcW w:w="1532" w:type="dxa"/>
            <w:shd w:val="pct25" w:color="auto" w:fill="auto"/>
          </w:tcPr>
          <w:p w:rsidR="00705A1F" w:rsidRPr="002F0548" w:rsidRDefault="00705A1F" w:rsidP="00425AF0">
            <w:pPr>
              <w:jc w:val="center"/>
              <w:rPr>
                <w:b/>
                <w:sz w:val="18"/>
              </w:rPr>
            </w:pPr>
            <w:r w:rsidRPr="002F0548">
              <w:rPr>
                <w:rFonts w:ascii="Arial" w:hAnsi="Arial" w:cs="Arial"/>
                <w:b/>
                <w:sz w:val="18"/>
              </w:rPr>
              <w:t>KO-iMecp2 (10</w:t>
            </w:r>
            <w:r w:rsidRPr="002F0548">
              <w:rPr>
                <w:rFonts w:ascii="Arial" w:hAnsi="Arial" w:cs="Arial"/>
                <w:b/>
                <w:sz w:val="18"/>
                <w:vertAlign w:val="superscript"/>
              </w:rPr>
              <w:t>10</w:t>
            </w:r>
            <w:r w:rsidRPr="002F0548">
              <w:rPr>
                <w:rFonts w:ascii="Arial" w:hAnsi="Arial" w:cs="Arial"/>
                <w:b/>
                <w:sz w:val="18"/>
              </w:rPr>
              <w:t xml:space="preserve"> vg)</w:t>
            </w:r>
          </w:p>
        </w:tc>
        <w:tc>
          <w:tcPr>
            <w:tcW w:w="1532" w:type="dxa"/>
          </w:tcPr>
          <w:p w:rsidR="00705A1F" w:rsidRPr="00705A1F" w:rsidRDefault="00D0564F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12,1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8,3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Pr="00705A1F" w:rsidRDefault="006E3BA6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28,7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13,3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533" w:type="dxa"/>
          </w:tcPr>
          <w:p w:rsidR="00705A1F" w:rsidRPr="00705A1F" w:rsidRDefault="00705A1F" w:rsidP="00425AF0">
            <w:pPr>
              <w:jc w:val="center"/>
              <w:rPr>
                <w:sz w:val="18"/>
              </w:rPr>
            </w:pPr>
            <w:r w:rsidRPr="00705A1F">
              <w:rPr>
                <w:rFonts w:ascii="Arial" w:hAnsi="Arial" w:cs="Arial"/>
                <w:sz w:val="18"/>
              </w:rPr>
              <w:t>7,5%</w:t>
            </w:r>
            <w:r w:rsidR="009C2C59">
              <w:rPr>
                <w:rFonts w:ascii="Arial" w:hAnsi="Arial" w:cs="Arial"/>
                <w:sz w:val="18"/>
              </w:rPr>
              <w:t xml:space="preserve"> </w:t>
            </w:r>
            <w:r w:rsidR="009C2C59" w:rsidRPr="00EC00CA">
              <w:rPr>
                <w:rFonts w:ascii="Arial" w:hAnsi="Arial" w:cs="Arial"/>
                <w:sz w:val="18"/>
              </w:rPr>
              <w:t>±</w:t>
            </w:r>
            <w:r w:rsidR="009C2C59">
              <w:rPr>
                <w:rFonts w:ascii="Arial" w:hAnsi="Arial" w:cs="Arial"/>
                <w:sz w:val="18"/>
              </w:rPr>
              <w:t xml:space="preserve"> 3,5</w:t>
            </w:r>
            <w:r w:rsidR="009C2C59" w:rsidRPr="00EC00CA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33" w:type="dxa"/>
          </w:tcPr>
          <w:p w:rsidR="00705A1F" w:rsidRDefault="00D0564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59,5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10,3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6E3BA6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29,6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8,7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9</w:t>
            </w:r>
            <w:r w:rsidR="00EC00CA">
              <w:rPr>
                <w:rFonts w:ascii="Arial" w:hAnsi="Arial" w:cs="Arial"/>
                <w:sz w:val="18"/>
              </w:rPr>
              <w:t xml:space="preserve">,5%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3,5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</w:tr>
      <w:tr w:rsidR="00705A1F" w:rsidTr="00425AF0">
        <w:trPr>
          <w:trHeight w:val="607"/>
        </w:trPr>
        <w:tc>
          <w:tcPr>
            <w:tcW w:w="1532" w:type="dxa"/>
            <w:shd w:val="pct25" w:color="auto" w:fill="auto"/>
          </w:tcPr>
          <w:p w:rsidR="00705A1F" w:rsidRPr="002F0548" w:rsidRDefault="00705A1F" w:rsidP="00425AF0">
            <w:pPr>
              <w:jc w:val="center"/>
              <w:rPr>
                <w:b/>
                <w:sz w:val="18"/>
              </w:rPr>
            </w:pPr>
            <w:r w:rsidRPr="002F0548">
              <w:rPr>
                <w:rFonts w:ascii="Arial" w:hAnsi="Arial" w:cs="Arial"/>
                <w:b/>
                <w:sz w:val="18"/>
              </w:rPr>
              <w:t>KO-iMecp2 (10</w:t>
            </w:r>
            <w:r w:rsidRPr="002F0548">
              <w:rPr>
                <w:rFonts w:ascii="Arial" w:hAnsi="Arial" w:cs="Arial"/>
                <w:b/>
                <w:sz w:val="18"/>
                <w:vertAlign w:val="superscript"/>
              </w:rPr>
              <w:t>11</w:t>
            </w:r>
            <w:r w:rsidRPr="002F0548">
              <w:rPr>
                <w:rFonts w:ascii="Arial" w:hAnsi="Arial" w:cs="Arial"/>
                <w:b/>
                <w:sz w:val="18"/>
              </w:rPr>
              <w:t xml:space="preserve"> vg)</w:t>
            </w:r>
          </w:p>
        </w:tc>
        <w:tc>
          <w:tcPr>
            <w:tcW w:w="1532" w:type="dxa"/>
          </w:tcPr>
          <w:p w:rsidR="00705A1F" w:rsidRPr="00705A1F" w:rsidRDefault="00D0564F" w:rsidP="00425AF0">
            <w:pPr>
              <w:jc w:val="center"/>
              <w:rPr>
                <w:sz w:val="18"/>
              </w:rPr>
            </w:pPr>
            <w:bookmarkStart w:id="0" w:name="OLE_LINK2"/>
            <w:r>
              <w:rPr>
                <w:rFonts w:ascii="Arial" w:hAnsi="Arial" w:cs="Arial"/>
                <w:sz w:val="18"/>
              </w:rPr>
              <w:t>50,2</w:t>
            </w:r>
            <w:r w:rsidRPr="00705A1F">
              <w:rPr>
                <w:rFonts w:ascii="Arial" w:hAnsi="Arial" w:cs="Arial"/>
                <w:sz w:val="18"/>
              </w:rPr>
              <w:t>%</w:t>
            </w:r>
            <w:bookmarkEnd w:id="0"/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9,4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Pr="00705A1F" w:rsidRDefault="006E3BA6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47,6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14,5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33" w:type="dxa"/>
          </w:tcPr>
          <w:p w:rsidR="00705A1F" w:rsidRPr="00705A1F" w:rsidRDefault="00705A1F" w:rsidP="00425AF0">
            <w:pPr>
              <w:jc w:val="center"/>
              <w:rPr>
                <w:sz w:val="18"/>
              </w:rPr>
            </w:pPr>
            <w:r w:rsidRPr="00705A1F">
              <w:rPr>
                <w:rFonts w:ascii="Arial" w:hAnsi="Arial" w:cs="Arial"/>
                <w:sz w:val="18"/>
              </w:rPr>
              <w:t xml:space="preserve">31,1%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2,8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D0564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55,7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7,5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6E3BA6" w:rsidP="00425AF0">
            <w:pPr>
              <w:jc w:val="center"/>
            </w:pPr>
            <w:bookmarkStart w:id="1" w:name="OLE_LINK1"/>
            <w:r>
              <w:rPr>
                <w:rFonts w:ascii="Arial" w:hAnsi="Arial" w:cs="Arial"/>
                <w:sz w:val="18"/>
              </w:rPr>
              <w:t>15,4</w:t>
            </w:r>
            <w:r w:rsidRPr="00705A1F">
              <w:rPr>
                <w:rFonts w:ascii="Arial" w:hAnsi="Arial" w:cs="Arial"/>
                <w:sz w:val="18"/>
              </w:rPr>
              <w:t>%</w:t>
            </w:r>
            <w:bookmarkEnd w:id="1"/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3,5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705A1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8,9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1,8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  <w:r w:rsidRPr="00705A1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705A1F" w:rsidTr="00425AF0">
        <w:trPr>
          <w:trHeight w:val="681"/>
        </w:trPr>
        <w:tc>
          <w:tcPr>
            <w:tcW w:w="1532" w:type="dxa"/>
            <w:shd w:val="pct25" w:color="auto" w:fill="auto"/>
          </w:tcPr>
          <w:p w:rsidR="00705A1F" w:rsidRPr="002F0548" w:rsidRDefault="00705A1F" w:rsidP="00425AF0">
            <w:pPr>
              <w:jc w:val="center"/>
              <w:rPr>
                <w:b/>
                <w:sz w:val="18"/>
              </w:rPr>
            </w:pPr>
            <w:r w:rsidRPr="002F0548">
              <w:rPr>
                <w:rFonts w:ascii="Arial" w:hAnsi="Arial" w:cs="Arial"/>
                <w:b/>
                <w:sz w:val="18"/>
              </w:rPr>
              <w:t>KO-iMecp2 (10</w:t>
            </w:r>
            <w:r w:rsidRPr="002F0548">
              <w:rPr>
                <w:rFonts w:ascii="Arial" w:hAnsi="Arial" w:cs="Arial"/>
                <w:b/>
                <w:sz w:val="18"/>
                <w:vertAlign w:val="superscript"/>
              </w:rPr>
              <w:t>12</w:t>
            </w:r>
            <w:r w:rsidRPr="002F0548">
              <w:rPr>
                <w:rFonts w:ascii="Arial" w:hAnsi="Arial" w:cs="Arial"/>
                <w:b/>
                <w:sz w:val="18"/>
              </w:rPr>
              <w:t xml:space="preserve"> vg)</w:t>
            </w:r>
          </w:p>
        </w:tc>
        <w:tc>
          <w:tcPr>
            <w:tcW w:w="1532" w:type="dxa"/>
          </w:tcPr>
          <w:p w:rsidR="00705A1F" w:rsidRPr="00705A1F" w:rsidRDefault="00D0564F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71,0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12,2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Pr="00705A1F" w:rsidRDefault="006E3BA6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64,5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bookmarkStart w:id="2" w:name="OLE_LINK4"/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13,1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  <w:bookmarkEnd w:id="2"/>
          </w:p>
        </w:tc>
        <w:tc>
          <w:tcPr>
            <w:tcW w:w="1533" w:type="dxa"/>
          </w:tcPr>
          <w:p w:rsidR="00705A1F" w:rsidRPr="00705A1F" w:rsidRDefault="00705A1F" w:rsidP="00425AF0">
            <w:pPr>
              <w:jc w:val="center"/>
              <w:rPr>
                <w:sz w:val="18"/>
              </w:rPr>
            </w:pPr>
            <w:r w:rsidRPr="00705A1F">
              <w:rPr>
                <w:rFonts w:ascii="Arial" w:hAnsi="Arial" w:cs="Arial"/>
                <w:sz w:val="18"/>
              </w:rPr>
              <w:t>44,6%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9,8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D0564F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63,4%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9,5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EC00CA" w:rsidRPr="00EC00CA" w:rsidRDefault="006E3BA6" w:rsidP="00425A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14,2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 7,3%</w:t>
            </w:r>
          </w:p>
          <w:p w:rsidR="00705A1F" w:rsidRDefault="00705A1F" w:rsidP="00425AF0">
            <w:pPr>
              <w:jc w:val="center"/>
            </w:pPr>
          </w:p>
        </w:tc>
        <w:tc>
          <w:tcPr>
            <w:tcW w:w="1533" w:type="dxa"/>
          </w:tcPr>
          <w:p w:rsidR="00EC00CA" w:rsidRPr="00EC00CA" w:rsidRDefault="00705A1F" w:rsidP="00425A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10,1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2,5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  <w:p w:rsidR="00705A1F" w:rsidRDefault="00705A1F" w:rsidP="00425AF0">
            <w:pPr>
              <w:jc w:val="center"/>
            </w:pPr>
            <w:r w:rsidRPr="00705A1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EC00CA" w:rsidTr="00425AF0">
        <w:trPr>
          <w:trHeight w:val="303"/>
        </w:trPr>
        <w:tc>
          <w:tcPr>
            <w:tcW w:w="1532" w:type="dxa"/>
            <w:shd w:val="pct25" w:color="auto" w:fill="auto"/>
          </w:tcPr>
          <w:p w:rsidR="00EC00CA" w:rsidRPr="00705A1F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2" w:type="dxa"/>
          </w:tcPr>
          <w:p w:rsidR="00EC00CA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</w:tcPr>
          <w:p w:rsidR="00EC00CA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</w:tcPr>
          <w:p w:rsidR="00EC00CA" w:rsidRPr="00705A1F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</w:tcPr>
          <w:p w:rsidR="00EC00CA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</w:tcPr>
          <w:p w:rsidR="00EC00CA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</w:tcPr>
          <w:p w:rsidR="00EC00CA" w:rsidRDefault="00EC00CA" w:rsidP="00425AF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5A1F" w:rsidTr="00425AF0">
        <w:trPr>
          <w:trHeight w:val="607"/>
        </w:trPr>
        <w:tc>
          <w:tcPr>
            <w:tcW w:w="1532" w:type="dxa"/>
            <w:shd w:val="pct25" w:color="auto" w:fill="auto"/>
          </w:tcPr>
          <w:p w:rsidR="00705A1F" w:rsidRPr="002F0548" w:rsidRDefault="00705A1F" w:rsidP="00425AF0">
            <w:pPr>
              <w:jc w:val="center"/>
              <w:rPr>
                <w:b/>
                <w:sz w:val="18"/>
              </w:rPr>
            </w:pPr>
            <w:r w:rsidRPr="002F0548">
              <w:rPr>
                <w:rFonts w:ascii="Arial" w:hAnsi="Arial" w:cs="Arial"/>
                <w:b/>
                <w:sz w:val="18"/>
              </w:rPr>
              <w:t>HET-iMecp2 (10</w:t>
            </w:r>
            <w:r w:rsidRPr="002F0548">
              <w:rPr>
                <w:rFonts w:ascii="Arial" w:hAnsi="Arial" w:cs="Arial"/>
                <w:b/>
                <w:sz w:val="18"/>
                <w:vertAlign w:val="superscript"/>
              </w:rPr>
              <w:t>11</w:t>
            </w:r>
            <w:r w:rsidRPr="002F0548">
              <w:rPr>
                <w:rFonts w:ascii="Arial" w:hAnsi="Arial" w:cs="Arial"/>
                <w:b/>
                <w:sz w:val="18"/>
              </w:rPr>
              <w:t xml:space="preserve"> vg)</w:t>
            </w:r>
          </w:p>
        </w:tc>
        <w:tc>
          <w:tcPr>
            <w:tcW w:w="1532" w:type="dxa"/>
          </w:tcPr>
          <w:p w:rsidR="00705A1F" w:rsidRPr="00705A1F" w:rsidRDefault="00975C5A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48,1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16,4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Pr="00705A1F" w:rsidRDefault="006046A4" w:rsidP="00425AF0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42,6%</w:t>
            </w:r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19,1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533" w:type="dxa"/>
          </w:tcPr>
          <w:p w:rsidR="00705A1F" w:rsidRPr="00705A1F" w:rsidRDefault="009741FE" w:rsidP="00425AF0">
            <w:pPr>
              <w:jc w:val="center"/>
              <w:rPr>
                <w:sz w:val="18"/>
              </w:rPr>
            </w:pPr>
            <w:bookmarkStart w:id="3" w:name="OLE_LINK3"/>
            <w:r>
              <w:rPr>
                <w:rFonts w:ascii="Arial" w:hAnsi="Arial" w:cs="Arial"/>
                <w:sz w:val="18"/>
              </w:rPr>
              <w:t>26,4</w:t>
            </w:r>
            <w:r w:rsidRPr="00705A1F">
              <w:rPr>
                <w:rFonts w:ascii="Arial" w:hAnsi="Arial" w:cs="Arial"/>
                <w:sz w:val="18"/>
              </w:rPr>
              <w:t>%</w:t>
            </w:r>
            <w:bookmarkEnd w:id="3"/>
            <w:r w:rsidR="00B261B9">
              <w:rPr>
                <w:rFonts w:ascii="Arial" w:hAnsi="Arial" w:cs="Arial"/>
                <w:sz w:val="18"/>
              </w:rPr>
              <w:t xml:space="preserve"> </w:t>
            </w:r>
            <w:r w:rsidR="00B261B9" w:rsidRPr="00EC00CA">
              <w:rPr>
                <w:rFonts w:ascii="Arial" w:hAnsi="Arial" w:cs="Arial"/>
                <w:sz w:val="18"/>
              </w:rPr>
              <w:t>±</w:t>
            </w:r>
            <w:r w:rsidR="00B261B9">
              <w:rPr>
                <w:rFonts w:ascii="Arial" w:hAnsi="Arial" w:cs="Arial"/>
                <w:sz w:val="18"/>
              </w:rPr>
              <w:t xml:space="preserve"> 7,6</w:t>
            </w:r>
            <w:r w:rsidR="00B261B9" w:rsidRPr="00EC00CA">
              <w:rPr>
                <w:rFonts w:ascii="Arial" w:hAnsi="Arial" w:cs="Arial"/>
                <w:sz w:val="18"/>
              </w:rPr>
              <w:t>%</w:t>
            </w:r>
            <w:r w:rsidR="00B261B9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533" w:type="dxa"/>
          </w:tcPr>
          <w:p w:rsidR="00705A1F" w:rsidRDefault="006046A4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46,4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7,6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975C5A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7,4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2,9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533" w:type="dxa"/>
          </w:tcPr>
          <w:p w:rsidR="00705A1F" w:rsidRDefault="009741FE" w:rsidP="00425AF0">
            <w:pPr>
              <w:jc w:val="center"/>
            </w:pPr>
            <w:r>
              <w:rPr>
                <w:rFonts w:ascii="Arial" w:hAnsi="Arial" w:cs="Arial"/>
                <w:sz w:val="18"/>
              </w:rPr>
              <w:t>7,4</w:t>
            </w:r>
            <w:r w:rsidRPr="00705A1F">
              <w:rPr>
                <w:rFonts w:ascii="Arial" w:hAnsi="Arial" w:cs="Arial"/>
                <w:sz w:val="18"/>
              </w:rPr>
              <w:t>%</w:t>
            </w:r>
            <w:r w:rsidR="00EC00CA">
              <w:rPr>
                <w:rFonts w:ascii="Arial" w:hAnsi="Arial" w:cs="Arial"/>
                <w:sz w:val="18"/>
              </w:rPr>
              <w:t xml:space="preserve"> </w:t>
            </w:r>
            <w:r w:rsidR="00EC00CA" w:rsidRPr="00EC00CA">
              <w:rPr>
                <w:rFonts w:ascii="Arial" w:hAnsi="Arial" w:cs="Arial"/>
                <w:sz w:val="18"/>
              </w:rPr>
              <w:t>±</w:t>
            </w:r>
            <w:r w:rsidR="00EC00CA">
              <w:rPr>
                <w:rFonts w:ascii="Arial" w:hAnsi="Arial" w:cs="Arial"/>
                <w:sz w:val="18"/>
              </w:rPr>
              <w:t xml:space="preserve"> 1,6</w:t>
            </w:r>
            <w:r w:rsidR="00EC00CA" w:rsidRPr="00EC00CA">
              <w:rPr>
                <w:rFonts w:ascii="Arial" w:hAnsi="Arial" w:cs="Arial"/>
                <w:sz w:val="18"/>
              </w:rPr>
              <w:t>%</w:t>
            </w:r>
          </w:p>
        </w:tc>
      </w:tr>
    </w:tbl>
    <w:p w:rsidR="00A943E7" w:rsidRDefault="00AE0A20" w:rsidP="00EC00CA">
      <w:pPr>
        <w:rPr>
          <w:rFonts w:ascii="Times New Roman" w:hAnsi="Times New Roman" w:cs="Times New Roman"/>
          <w:b/>
          <w:sz w:val="24"/>
          <w:szCs w:val="24"/>
        </w:rPr>
      </w:pPr>
      <w:r w:rsidRPr="00AE0A20"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="00FD34DA" w:rsidRPr="00AE0A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AF0" w:rsidRDefault="00351263" w:rsidP="00EC0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Quantitative assessment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D24">
        <w:rPr>
          <w:rFonts w:ascii="Times New Roman" w:hAnsi="Times New Roman" w:cs="Times New Roman"/>
          <w:sz w:val="24"/>
          <w:szCs w:val="24"/>
        </w:rPr>
        <w:t>of transduced (V5</w:t>
      </w:r>
      <w:r w:rsidR="00AD3D24" w:rsidRPr="00AD3D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D3D24">
        <w:rPr>
          <w:rFonts w:ascii="Times New Roman" w:hAnsi="Times New Roman" w:cs="Times New Roman"/>
          <w:sz w:val="24"/>
          <w:szCs w:val="24"/>
        </w:rPr>
        <w:t>) astrocytes (Sox9+) and neurons (</w:t>
      </w:r>
      <w:proofErr w:type="spellStart"/>
      <w:r w:rsidR="00AD3D24">
        <w:rPr>
          <w:rFonts w:ascii="Times New Roman" w:hAnsi="Times New Roman" w:cs="Times New Roman"/>
          <w:sz w:val="24"/>
          <w:szCs w:val="24"/>
        </w:rPr>
        <w:t>NeuN</w:t>
      </w:r>
      <w:proofErr w:type="spellEnd"/>
      <w:r w:rsidR="00AD3D24">
        <w:rPr>
          <w:rFonts w:ascii="Times New Roman" w:hAnsi="Times New Roman" w:cs="Times New Roman"/>
          <w:sz w:val="24"/>
          <w:szCs w:val="24"/>
        </w:rPr>
        <w:t>+) in the cerebral cortical tissue at each different iMecp2 viral dose</w:t>
      </w:r>
      <w:r w:rsidR="001924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422" w:rsidRDefault="00192422" w:rsidP="00EC00CA">
      <w:pPr>
        <w:rPr>
          <w:rFonts w:ascii="Times New Roman" w:hAnsi="Times New Roman" w:cs="Times New Roman"/>
          <w:sz w:val="24"/>
          <w:szCs w:val="24"/>
        </w:rPr>
      </w:pPr>
    </w:p>
    <w:p w:rsidR="00192422" w:rsidRDefault="00192422" w:rsidP="00EC00CA">
      <w:pPr>
        <w:rPr>
          <w:rFonts w:ascii="Times New Roman" w:hAnsi="Times New Roman" w:cs="Times New Roman"/>
          <w:sz w:val="24"/>
          <w:szCs w:val="24"/>
        </w:rPr>
      </w:pPr>
    </w:p>
    <w:p w:rsidR="00192422" w:rsidRPr="00AD3D24" w:rsidRDefault="00192422" w:rsidP="00EC00CA">
      <w:pPr>
        <w:rPr>
          <w:rFonts w:ascii="Times New Roman" w:hAnsi="Times New Roman" w:cs="Times New Roman"/>
          <w:sz w:val="24"/>
          <w:szCs w:val="24"/>
        </w:rPr>
      </w:pPr>
    </w:p>
    <w:p w:rsidR="00425AF0" w:rsidRPr="00AE0A20" w:rsidRDefault="00425AF0" w:rsidP="00EC00CA">
      <w:pPr>
        <w:rPr>
          <w:rFonts w:ascii="Times New Roman" w:hAnsi="Times New Roman" w:cs="Times New Roman"/>
          <w:b/>
          <w:sz w:val="24"/>
          <w:szCs w:val="24"/>
        </w:rPr>
      </w:pPr>
    </w:p>
    <w:p w:rsidR="00FD34DA" w:rsidRDefault="00FD34DA" w:rsidP="00EC00CA"/>
    <w:p w:rsidR="00FD34DA" w:rsidRDefault="00FD34DA" w:rsidP="00EC00CA"/>
    <w:p w:rsidR="00FD34DA" w:rsidRDefault="00FD34DA" w:rsidP="00EC00CA"/>
    <w:sectPr w:rsidR="00FD34DA" w:rsidSect="002F0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1F"/>
    <w:rsid w:val="00192422"/>
    <w:rsid w:val="002F0548"/>
    <w:rsid w:val="00351263"/>
    <w:rsid w:val="00425AF0"/>
    <w:rsid w:val="006046A4"/>
    <w:rsid w:val="006E3BA6"/>
    <w:rsid w:val="00705A1F"/>
    <w:rsid w:val="00836F37"/>
    <w:rsid w:val="00970266"/>
    <w:rsid w:val="009741FE"/>
    <w:rsid w:val="00975C5A"/>
    <w:rsid w:val="009C2C59"/>
    <w:rsid w:val="00A943E7"/>
    <w:rsid w:val="00AD3D24"/>
    <w:rsid w:val="00AE0A20"/>
    <w:rsid w:val="00B261B9"/>
    <w:rsid w:val="00D0564F"/>
    <w:rsid w:val="00EC00CA"/>
    <w:rsid w:val="00FB7A75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065"/>
  <w15:chartTrackingRefBased/>
  <w15:docId w15:val="{7CE9C9F4-482F-403A-9EEA-1A854C9C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Luoni</dc:creator>
  <cp:keywords/>
  <dc:description/>
  <cp:lastModifiedBy>Broccoli Vania</cp:lastModifiedBy>
  <cp:revision>16</cp:revision>
  <dcterms:created xsi:type="dcterms:W3CDTF">2020-03-03T10:13:00Z</dcterms:created>
  <dcterms:modified xsi:type="dcterms:W3CDTF">2020-03-04T17:15:00Z</dcterms:modified>
</cp:coreProperties>
</file>