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8A19E" w14:textId="54F1687C" w:rsidR="00E7469E" w:rsidRDefault="00027DF9" w:rsidP="00E746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Figure 1-Figure Supplement 2</w:t>
      </w:r>
      <w:r w:rsidR="00E7469E" w:rsidRPr="00E7469E">
        <w:rPr>
          <w:rFonts w:ascii="Arial" w:hAnsi="Arial" w:cs="Arial"/>
          <w:sz w:val="22"/>
          <w:szCs w:val="22"/>
        </w:rPr>
        <w:t>: PFC innervation is not dri</w:t>
      </w:r>
      <w:r w:rsidR="00E7469E">
        <w:rPr>
          <w:rFonts w:ascii="Arial" w:hAnsi="Arial" w:cs="Arial"/>
          <w:sz w:val="22"/>
          <w:szCs w:val="22"/>
        </w:rPr>
        <w:t>ven by percentage of BLA filled</w:t>
      </w:r>
      <w:r w:rsidR="00FC131C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or bolus size in included cases.</w:t>
      </w:r>
      <w:r w:rsidR="00E7469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All included cases for each age (PD28, PD38, and PD48) were collapsed across sex</w:t>
      </w:r>
      <w:r w:rsidR="00E7469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and rearing condition to determine whether the percentage of BLA that was filled, and/or</w:t>
      </w:r>
      <w:r w:rsidR="00E7469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the total bolus size (both within and outside of the BLA structure) was related to total</w:t>
      </w:r>
      <w:r w:rsidR="009932A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PFC axonal innervation in included cases (n=29-32 p</w:t>
      </w:r>
      <w:r w:rsidR="00E7469E">
        <w:rPr>
          <w:rFonts w:ascii="Arial" w:hAnsi="Arial" w:cs="Arial"/>
          <w:sz w:val="22"/>
          <w:szCs w:val="22"/>
        </w:rPr>
        <w:t xml:space="preserve">er age). There were no observed </w:t>
      </w:r>
      <w:r w:rsidR="00E7469E" w:rsidRPr="00E7469E">
        <w:rPr>
          <w:rFonts w:ascii="Arial" w:hAnsi="Arial" w:cs="Arial"/>
          <w:sz w:val="22"/>
          <w:szCs w:val="22"/>
        </w:rPr>
        <w:t>relationships between these measures at any age, suggesting no need for correcting</w:t>
      </w:r>
      <w:r w:rsidR="00E7469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innervation based on bolus characteristics measured. Bolus size and location (i.e. % in</w:t>
      </w:r>
      <w:r w:rsidR="00E7469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and outside of BLA structure) were determined via Cavalieri probe volume estimate</w:t>
      </w:r>
      <w:r w:rsidR="00E7469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across the rostral-caudal extent of the biotinylated dextran amine (BDA) anterograde</w:t>
      </w:r>
      <w:r w:rsidR="00E7469E">
        <w:rPr>
          <w:rFonts w:ascii="Arial" w:hAnsi="Arial" w:cs="Arial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sz w:val="22"/>
          <w:szCs w:val="22"/>
        </w:rPr>
        <w:t>tracer bolus.</w:t>
      </w:r>
    </w:p>
    <w:p w14:paraId="7F2D237B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01B713E8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6783663F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36F67D38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292EA144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AC6024E" wp14:editId="79534FF0">
            <wp:extent cx="5029200" cy="4345596"/>
            <wp:effectExtent l="0" t="0" r="0" b="0"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650" cy="434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D71F6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3C39D66A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11E377A7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5E71FEA8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56436DB0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73D3E009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2246B714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0DEA2CD8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6BC7253F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51ECC65D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</w:p>
    <w:p w14:paraId="0382CDF5" w14:textId="77777777" w:rsidR="00E7469E" w:rsidRDefault="00E7469E" w:rsidP="00E7469E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E7469E" w:rsidSect="00E7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9E"/>
    <w:rsid w:val="00023349"/>
    <w:rsid w:val="00026AC1"/>
    <w:rsid w:val="00027DF9"/>
    <w:rsid w:val="001D5B98"/>
    <w:rsid w:val="00256167"/>
    <w:rsid w:val="002B4F2F"/>
    <w:rsid w:val="003319F7"/>
    <w:rsid w:val="00592F0A"/>
    <w:rsid w:val="005A65EA"/>
    <w:rsid w:val="007546F2"/>
    <w:rsid w:val="00773453"/>
    <w:rsid w:val="007E563B"/>
    <w:rsid w:val="00853EA1"/>
    <w:rsid w:val="009932AE"/>
    <w:rsid w:val="009A6011"/>
    <w:rsid w:val="00B342D8"/>
    <w:rsid w:val="00C94FBF"/>
    <w:rsid w:val="00E01C8F"/>
    <w:rsid w:val="00E7469E"/>
    <w:rsid w:val="00F56B7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D7B0"/>
  <w14:defaultImageDpi w14:val="300"/>
  <w15:docId w15:val="{BD7991B2-F56C-AA49-BEFC-B39310C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6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9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2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2334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University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Brenhouse</dc:creator>
  <cp:keywords/>
  <dc:description/>
  <cp:lastModifiedBy>Brenhouse, Heather</cp:lastModifiedBy>
  <cp:revision>2</cp:revision>
  <dcterms:created xsi:type="dcterms:W3CDTF">2019-12-27T16:34:00Z</dcterms:created>
  <dcterms:modified xsi:type="dcterms:W3CDTF">2019-12-27T16:34:00Z</dcterms:modified>
</cp:coreProperties>
</file>