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2118BF6" w:rsidR="00877644" w:rsidRDefault="00FE1B1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for the clinical study was based on previous similar studies, as no preliminary data were available to inform a sample size calculation.  Where previously acquired and reported datasets were re-analysed, all samples avai</w:t>
      </w:r>
      <w:r w:rsidR="007A6475">
        <w:rPr>
          <w:rFonts w:asciiTheme="minorHAnsi" w:hAnsiTheme="minorHAnsi"/>
        </w:rPr>
        <w:t>lable for analysis were studied, (Walker et al Clin Inf Dis 2017  65:121, Walker et al Clin Inf Dis 2019, ePub ahead of press).</w:t>
      </w:r>
    </w:p>
    <w:p w14:paraId="486DE315" w14:textId="63915591" w:rsidR="00FE1B15" w:rsidRPr="00125190" w:rsidRDefault="00FE1B1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immunohistochemistry is non-quantitative and therefore a sample size calculation is not possible.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4564ED0" w:rsidR="00B330BD" w:rsidRPr="00125190" w:rsidRDefault="007A647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micr</w:t>
      </w:r>
      <w:r w:rsidR="00FE1B15">
        <w:rPr>
          <w:rFonts w:asciiTheme="minorHAnsi" w:hAnsiTheme="minorHAnsi"/>
        </w:rPr>
        <w:t xml:space="preserve">osphere experiments were performed on a minimum of two occasions on different dates and studying different donors, with a minimum of three technical replicates for every condition per donor. </w:t>
      </w:r>
      <w:r>
        <w:rPr>
          <w:rFonts w:asciiTheme="minorHAnsi" w:hAnsiTheme="minorHAnsi"/>
        </w:rPr>
        <w:t xml:space="preserve"> These details are provided in the statistical analysis section of the methods.</w:t>
      </w:r>
      <w:r w:rsidR="00FE1B15">
        <w:rPr>
          <w:rFonts w:asciiTheme="minorHAnsi" w:hAnsiTheme="minorHAnsi"/>
        </w:rPr>
        <w:t xml:space="preserve"> No outliers were excluded.</w:t>
      </w:r>
      <w:r>
        <w:rPr>
          <w:rFonts w:asciiTheme="minorHAnsi" w:hAnsiTheme="minorHAnsi"/>
        </w:rPr>
        <w:t xml:space="preserve"> No high throughput sequence data were generated.</w:t>
      </w:r>
    </w:p>
    <w:p w14:paraId="3E1A6B61" w14:textId="5E87D697"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C688647" w:rsidR="0015519A" w:rsidRDefault="00FE1B1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E1B15">
        <w:rPr>
          <w:rFonts w:asciiTheme="minorHAnsi" w:hAnsiTheme="minorHAnsi"/>
          <w:sz w:val="22"/>
          <w:szCs w:val="22"/>
        </w:rPr>
        <w:t xml:space="preserve">Data presented are from a representative donor and include the mean and SEM. Analysis was performed in Graphpad Prism v7.05. Students t-test was used to compare pairs and ANOVA with Tukey’s correction for multiple comparisons for groups of 3 or more groups where it was appropriate. For the flow cytometric analysis of clinical samples, data were analysed using Mann-Whitney test for comparing pairs and Kruskal-Wallis test with Dunn’s multiple comparisons test for 3 or more group.   </w:t>
      </w:r>
    </w:p>
    <w:p w14:paraId="00F43FB8" w14:textId="40B9AF7A" w:rsidR="00FE1B15" w:rsidRPr="00505C51" w:rsidRDefault="0083181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w:t>
      </w:r>
      <w:r w:rsidR="00FE1B15">
        <w:rPr>
          <w:rFonts w:asciiTheme="minorHAnsi" w:hAnsiTheme="minorHAnsi"/>
          <w:sz w:val="22"/>
          <w:szCs w:val="22"/>
        </w:rPr>
        <w:t>tical analys</w:t>
      </w:r>
      <w:r>
        <w:rPr>
          <w:rFonts w:asciiTheme="minorHAnsi" w:hAnsiTheme="minorHAnsi"/>
          <w:sz w:val="22"/>
          <w:szCs w:val="22"/>
        </w:rPr>
        <w:t>es</w:t>
      </w:r>
      <w:r w:rsidR="00FE1B15">
        <w:rPr>
          <w:rFonts w:asciiTheme="minorHAnsi" w:hAnsiTheme="minorHAnsi"/>
          <w:sz w:val="22"/>
          <w:szCs w:val="22"/>
        </w:rPr>
        <w:t xml:space="preserve"> </w:t>
      </w:r>
      <w:r>
        <w:rPr>
          <w:rFonts w:asciiTheme="minorHAnsi" w:hAnsiTheme="minorHAnsi"/>
          <w:sz w:val="22"/>
          <w:szCs w:val="22"/>
        </w:rPr>
        <w:t>are stated in the methods and the figure legends.</w:t>
      </w:r>
      <w:r w:rsidR="00FE1B15">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1091A20" w:rsidR="00BC3CCE" w:rsidRPr="00505C51" w:rsidRDefault="0083181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After generation, microspheres were dis</w:t>
      </w:r>
      <w:r w:rsidR="007A6475">
        <w:rPr>
          <w:rFonts w:asciiTheme="minorHAnsi" w:hAnsiTheme="minorHAnsi"/>
          <w:sz w:val="22"/>
          <w:szCs w:val="22"/>
        </w:rPr>
        <w:t>pensed into either eppendorfs or</w:t>
      </w:r>
      <w:r>
        <w:rPr>
          <w:rFonts w:asciiTheme="minorHAnsi" w:hAnsiTheme="minorHAnsi"/>
          <w:sz w:val="22"/>
          <w:szCs w:val="22"/>
        </w:rPr>
        <w:t xml:space="preserve"> 96 well plates.  The eppendorfs were randomly allocated to the different intervention groups, whilst the plate layout for interventions was as predetermined by the experimental plan.  This information is included in the methods section on page 17.</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A3288D3" w:rsidR="00BC3CCE" w:rsidRPr="00505C51" w:rsidRDefault="0083181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source data will be made available via the University of Southampton ePrints research repository with a key linking to each main and supplementary figure in the manuscript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03B6FA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A647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470B1"/>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92EC9"/>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6475"/>
    <w:rsid w:val="007B6567"/>
    <w:rsid w:val="007B6D8A"/>
    <w:rsid w:val="007B7AF0"/>
    <w:rsid w:val="007C1A97"/>
    <w:rsid w:val="007D18C3"/>
    <w:rsid w:val="007E54D8"/>
    <w:rsid w:val="007E5880"/>
    <w:rsid w:val="00800860"/>
    <w:rsid w:val="008071DA"/>
    <w:rsid w:val="0082410E"/>
    <w:rsid w:val="0083181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1B15"/>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E8D6BA3C-9558-4E2E-A972-3B6927DC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4659B-FF87-405A-B321-A55C5B92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Elkington P.T.</cp:lastModifiedBy>
  <cp:revision>5</cp:revision>
  <dcterms:created xsi:type="dcterms:W3CDTF">2019-10-16T14:42:00Z</dcterms:created>
  <dcterms:modified xsi:type="dcterms:W3CDTF">2019-10-16T16:17:00Z</dcterms:modified>
</cp:coreProperties>
</file>