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CD" w:rsidRDefault="008E2964" w:rsidP="00B431CD">
      <w:pPr>
        <w:spacing w:after="120" w:line="288" w:lineRule="auto"/>
        <w:jc w:val="both"/>
        <w:rPr>
          <w:rFonts w:cs="HlxldkAdvTTaf7f9f4f.B"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Supplementary </w:t>
      </w:r>
      <w:r w:rsidR="007A793A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ile </w:t>
      </w:r>
      <w:r w:rsidR="00151CB0">
        <w:rPr>
          <w:b/>
          <w:sz w:val="24"/>
          <w:szCs w:val="24"/>
        </w:rPr>
        <w:t>1.</w:t>
      </w:r>
      <w:proofErr w:type="gramEnd"/>
      <w:r w:rsidR="00151CB0" w:rsidRPr="000651D6">
        <w:rPr>
          <w:b/>
          <w:sz w:val="24"/>
          <w:szCs w:val="24"/>
        </w:rPr>
        <w:t xml:space="preserve"> </w:t>
      </w:r>
      <w:proofErr w:type="gramStart"/>
      <w:r w:rsidR="00B431CD">
        <w:rPr>
          <w:b/>
          <w:sz w:val="24"/>
          <w:szCs w:val="24"/>
        </w:rPr>
        <w:t>Signature genes in tenocytes and dedifferentiated mutant cells i</w:t>
      </w:r>
      <w:r w:rsidR="00F41494">
        <w:rPr>
          <w:b/>
          <w:sz w:val="24"/>
          <w:szCs w:val="24"/>
        </w:rPr>
        <w:t>n comparison with other clusters</w:t>
      </w:r>
      <w:r w:rsidR="00B431CD">
        <w:rPr>
          <w:b/>
          <w:sz w:val="24"/>
          <w:szCs w:val="24"/>
        </w:rPr>
        <w:t>.</w:t>
      </w:r>
      <w:proofErr w:type="gramEnd"/>
      <w:r w:rsidR="00B431CD">
        <w:rPr>
          <w:b/>
          <w:sz w:val="24"/>
          <w:szCs w:val="24"/>
        </w:rPr>
        <w:t xml:space="preserve"> </w:t>
      </w:r>
      <w:r w:rsidR="00B431CD">
        <w:rPr>
          <w:rFonts w:cs="HlxldkAdvTTaf7f9f4f.B"/>
          <w:sz w:val="24"/>
          <w:szCs w:val="24"/>
        </w:rPr>
        <w:t xml:space="preserve">See also Figure 6A for the </w:t>
      </w:r>
      <w:proofErr w:type="spellStart"/>
      <w:r w:rsidR="00B431CD">
        <w:rPr>
          <w:rFonts w:cs="HlxldkAdvTTaf7f9f4f.B"/>
          <w:sz w:val="24"/>
          <w:szCs w:val="24"/>
        </w:rPr>
        <w:t>tSNE</w:t>
      </w:r>
      <w:proofErr w:type="spellEnd"/>
      <w:r w:rsidR="00B431CD">
        <w:rPr>
          <w:rFonts w:cs="HlxldkAdvTTaf7f9f4f.B"/>
          <w:sz w:val="24"/>
          <w:szCs w:val="24"/>
        </w:rPr>
        <w:t xml:space="preserve"> plot</w:t>
      </w:r>
      <w:r w:rsidR="00F41494">
        <w:rPr>
          <w:rFonts w:cs="HlxldkAdvTTaf7f9f4f.B"/>
          <w:sz w:val="24"/>
          <w:szCs w:val="24"/>
        </w:rPr>
        <w:t>s</w:t>
      </w:r>
      <w:r w:rsidR="00B431CD">
        <w:rPr>
          <w:rFonts w:cs="HlxldkAdvTTaf7f9f4f.B"/>
          <w:sz w:val="24"/>
          <w:szCs w:val="24"/>
        </w:rPr>
        <w:t xml:space="preserve"> of the sample.</w:t>
      </w:r>
    </w:p>
    <w:p w:rsidR="00B431CD" w:rsidRDefault="00B431CD" w:rsidP="00151CB0">
      <w:pPr>
        <w:spacing w:after="0"/>
        <w:jc w:val="both"/>
        <w:rPr>
          <w:b/>
          <w:sz w:val="24"/>
          <w:szCs w:val="24"/>
        </w:rPr>
      </w:pPr>
    </w:p>
    <w:p w:rsidR="00151CB0" w:rsidRDefault="00B431CD" w:rsidP="00B431CD">
      <w:pPr>
        <w:spacing w:after="120"/>
        <w:jc w:val="both"/>
        <w:rPr>
          <w:rFonts w:cs="HlxldkAdvTTaf7f9f4f.B"/>
          <w:sz w:val="24"/>
          <w:szCs w:val="24"/>
        </w:rPr>
      </w:pPr>
      <w:r>
        <w:rPr>
          <w:sz w:val="24"/>
          <w:szCs w:val="24"/>
        </w:rPr>
        <w:t xml:space="preserve">(A) </w:t>
      </w:r>
      <w:r>
        <w:rPr>
          <w:rFonts w:cs="HlxldkAdvTTaf7f9f4f.B"/>
          <w:sz w:val="24"/>
          <w:szCs w:val="24"/>
        </w:rPr>
        <w:t>Top 25 genes highly expressed in the tenocyte cluster relative to other clusters in the P7 wild-type tendon sample</w:t>
      </w:r>
      <w:r w:rsidR="00F41494">
        <w:rPr>
          <w:rFonts w:cs="HlxldkAdvTTaf7f9f4f.B"/>
          <w:sz w:val="24"/>
          <w:szCs w:val="24"/>
        </w:rPr>
        <w:t xml:space="preserve"> (</w:t>
      </w:r>
      <w:r w:rsidR="00F41494">
        <w:rPr>
          <w:rFonts w:cs="HlxldkAdvTTaf7f9f4f.B"/>
          <w:sz w:val="24"/>
          <w:szCs w:val="24"/>
        </w:rPr>
        <w:sym w:font="Symbol" w:char="F0B3"/>
      </w:r>
      <w:r w:rsidR="00F41494">
        <w:rPr>
          <w:rFonts w:cs="HlxldkAdvTTaf7f9f4f.B"/>
          <w:sz w:val="24"/>
          <w:szCs w:val="24"/>
        </w:rPr>
        <w:t xml:space="preserve">1.5-fold change, adjusted </w:t>
      </w:r>
      <w:r w:rsidR="00F41494">
        <w:rPr>
          <w:rFonts w:cs="HlxldkAdvTTaf7f9f4f.B"/>
          <w:i/>
          <w:sz w:val="24"/>
          <w:szCs w:val="24"/>
        </w:rPr>
        <w:t>p</w:t>
      </w:r>
      <w:r w:rsidR="00F41494">
        <w:rPr>
          <w:rFonts w:cs="HlxldkAdvTTaf7f9f4f.B"/>
          <w:sz w:val="24"/>
          <w:szCs w:val="24"/>
        </w:rPr>
        <w:t>&lt;0.05)</w:t>
      </w:r>
      <w:r>
        <w:rPr>
          <w:rFonts w:cs="HlxldkAdvTTaf7f9f4f.B"/>
          <w:sz w:val="24"/>
          <w:szCs w:val="24"/>
        </w:rPr>
        <w:t>.</w:t>
      </w:r>
    </w:p>
    <w:tbl>
      <w:tblPr>
        <w:tblStyle w:val="LightShading"/>
        <w:tblW w:w="9468" w:type="dxa"/>
        <w:tblLayout w:type="fixed"/>
        <w:tblLook w:val="04A0" w:firstRow="1" w:lastRow="0" w:firstColumn="1" w:lastColumn="0" w:noHBand="0" w:noVBand="1"/>
      </w:tblPr>
      <w:tblGrid>
        <w:gridCol w:w="1548"/>
        <w:gridCol w:w="6570"/>
        <w:gridCol w:w="1350"/>
      </w:tblGrid>
      <w:tr w:rsidR="00151CB0" w:rsidRPr="000651D6" w:rsidTr="00DF3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0651D6" w:rsidRDefault="00151CB0" w:rsidP="00DF37B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651D6">
              <w:rPr>
                <w:sz w:val="20"/>
                <w:szCs w:val="20"/>
              </w:rPr>
              <w:t>Gene symbol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1D6">
              <w:rPr>
                <w:sz w:val="20"/>
                <w:szCs w:val="20"/>
              </w:rPr>
              <w:t>Gene name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1D6">
              <w:rPr>
                <w:sz w:val="20"/>
                <w:szCs w:val="20"/>
              </w:rPr>
              <w:t>Fold change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Angptl7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E824FC">
              <w:rPr>
                <w:color w:val="000000"/>
                <w:sz w:val="20"/>
                <w:szCs w:val="20"/>
              </w:rPr>
              <w:t>ngiopoietin like 7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30.3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Car9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Carbonic anhydrase 9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18.5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Col11a2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0651D6">
              <w:rPr>
                <w:color w:val="000000"/>
                <w:sz w:val="20"/>
                <w:szCs w:val="20"/>
              </w:rPr>
              <w:t>ollagen, type XI, alpha 2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16.4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Scx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Scleraxis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14.9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Wif1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Wnt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inhibitory factor 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13.5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Sema3b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</w:t>
            </w:r>
            <w:r w:rsidRPr="000651D6">
              <w:rPr>
                <w:color w:val="000000"/>
                <w:sz w:val="20"/>
                <w:szCs w:val="20"/>
              </w:rPr>
              <w:t>ema</w:t>
            </w:r>
            <w:proofErr w:type="spellEnd"/>
            <w:r w:rsidRPr="000651D6">
              <w:rPr>
                <w:color w:val="000000"/>
                <w:sz w:val="20"/>
                <w:szCs w:val="20"/>
              </w:rPr>
              <w:t xml:space="preserve"> domain, immunoglobulin domain (Ig), short basic domain, secreted, (</w:t>
            </w:r>
            <w:proofErr w:type="spellStart"/>
            <w:r w:rsidRPr="000651D6">
              <w:rPr>
                <w:color w:val="000000"/>
                <w:sz w:val="20"/>
                <w:szCs w:val="20"/>
              </w:rPr>
              <w:t>semaphorin</w:t>
            </w:r>
            <w:proofErr w:type="spellEnd"/>
            <w:r w:rsidRPr="000651D6">
              <w:rPr>
                <w:color w:val="000000"/>
                <w:sz w:val="20"/>
                <w:szCs w:val="20"/>
              </w:rPr>
              <w:t>) 3B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Col2a1</w:t>
            </w:r>
            <w:r w:rsidRPr="00674402">
              <w:rPr>
                <w:b w:val="0"/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δ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0651D6">
              <w:rPr>
                <w:color w:val="000000"/>
                <w:sz w:val="20"/>
                <w:szCs w:val="20"/>
              </w:rPr>
              <w:t>ollagen, type II, alpha 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Fmod</w:t>
            </w:r>
            <w:proofErr w:type="spellEnd"/>
            <w:r w:rsidRPr="00674402">
              <w:rPr>
                <w:b w:val="0"/>
                <w:i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Fibromodulin</w:t>
            </w:r>
            <w:proofErr w:type="spellEnd"/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11.9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Matn4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Matrilin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Cgref1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283188">
              <w:rPr>
                <w:color w:val="000000"/>
                <w:sz w:val="20"/>
                <w:szCs w:val="20"/>
              </w:rPr>
              <w:t>ell growth regulator with EF hand domain 1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9.9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Col11a1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283188">
              <w:rPr>
                <w:color w:val="000000"/>
                <w:sz w:val="20"/>
                <w:szCs w:val="20"/>
              </w:rPr>
              <w:t>ollagen</w:t>
            </w:r>
            <w:r>
              <w:rPr>
                <w:color w:val="000000"/>
                <w:sz w:val="20"/>
                <w:szCs w:val="20"/>
              </w:rPr>
              <w:t xml:space="preserve"> type XI</w:t>
            </w:r>
            <w:r w:rsidRPr="00283188">
              <w:rPr>
                <w:color w:val="000000"/>
                <w:sz w:val="20"/>
                <w:szCs w:val="20"/>
              </w:rPr>
              <w:t xml:space="preserve"> alpha 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1500015O10Rik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83188">
              <w:rPr>
                <w:color w:val="000000"/>
                <w:sz w:val="20"/>
                <w:szCs w:val="20"/>
              </w:rPr>
              <w:t>RIKEN cDNA 1500015O10 gene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Cpxm2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283188">
              <w:rPr>
                <w:color w:val="000000"/>
                <w:sz w:val="20"/>
                <w:szCs w:val="20"/>
              </w:rPr>
              <w:t>arboxypeptidase X 2 (M14 family)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Clip2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283188">
              <w:rPr>
                <w:color w:val="000000"/>
                <w:sz w:val="20"/>
                <w:szCs w:val="20"/>
              </w:rPr>
              <w:t>artilage intermediate layer protein 2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Pdgfrl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δ</w:t>
            </w:r>
            <w:proofErr w:type="spellEnd"/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283188">
              <w:rPr>
                <w:color w:val="000000"/>
                <w:sz w:val="20"/>
                <w:szCs w:val="20"/>
              </w:rPr>
              <w:t>latelet-derived growth factor receptor-like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Itgbl1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283188">
              <w:rPr>
                <w:color w:val="000000"/>
                <w:sz w:val="20"/>
                <w:szCs w:val="20"/>
              </w:rPr>
              <w:t>ntegrin, beta-like 1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Col1a1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283188">
              <w:rPr>
                <w:color w:val="000000"/>
                <w:sz w:val="20"/>
                <w:szCs w:val="20"/>
              </w:rPr>
              <w:t>ollagen, type I, alpha 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Col1a2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Collagen, type I, alpha 2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Cpz</w:t>
            </w:r>
            <w:proofErr w:type="spellEnd"/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283188">
              <w:rPr>
                <w:color w:val="000000"/>
                <w:sz w:val="20"/>
                <w:szCs w:val="20"/>
              </w:rPr>
              <w:t>arboxypeptidase Z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6.7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Kera</w:t>
            </w:r>
            <w:proofErr w:type="spellEnd"/>
            <w:r w:rsidRPr="00674402">
              <w:rPr>
                <w:b w:val="0"/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δ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</w:t>
            </w:r>
            <w:r w:rsidRPr="00283188">
              <w:rPr>
                <w:color w:val="000000"/>
                <w:sz w:val="20"/>
                <w:szCs w:val="20"/>
              </w:rPr>
              <w:t>eratocan</w:t>
            </w:r>
            <w:proofErr w:type="spellEnd"/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P4ha1</w:t>
            </w:r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δ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283188">
              <w:rPr>
                <w:color w:val="000000"/>
                <w:sz w:val="20"/>
                <w:szCs w:val="20"/>
              </w:rPr>
              <w:t>rocollagen-proline, 2-oxoglutarate 4-dioxygenase (proline 4-hydroxylase), alpha 1 polypeptide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Abi3bp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83188">
              <w:rPr>
                <w:color w:val="000000"/>
                <w:sz w:val="20"/>
                <w:szCs w:val="20"/>
              </w:rPr>
              <w:t>ABI gene family, member 3 (NESH) binding protein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Crabp1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EC2BF3">
              <w:rPr>
                <w:color w:val="000000"/>
                <w:sz w:val="20"/>
                <w:szCs w:val="20"/>
              </w:rPr>
              <w:t>ellular retinoic acid binding protein I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Tnmd</w:t>
            </w:r>
            <w:proofErr w:type="spellEnd"/>
            <w:r w:rsidRPr="00674402">
              <w:rPr>
                <w:b w:val="0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657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Tenomodulin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C1qtnf3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83188">
              <w:rPr>
                <w:color w:val="000000"/>
                <w:sz w:val="20"/>
                <w:szCs w:val="20"/>
              </w:rPr>
              <w:t>C1q and tumor necrosis factor related protein 3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</w:t>
            </w:r>
          </w:p>
        </w:tc>
      </w:tr>
    </w:tbl>
    <w:p w:rsidR="00151CB0" w:rsidRDefault="00151CB0" w:rsidP="00151CB0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Note: </w:t>
      </w:r>
    </w:p>
    <w:p w:rsidR="00151CB0" w:rsidRPr="00AA60EC" w:rsidRDefault="00151CB0" w:rsidP="00151CB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A60EC">
        <w:rPr>
          <w:sz w:val="20"/>
          <w:szCs w:val="20"/>
        </w:rPr>
        <w:t>#=Tendon differentiation or specific marker; δ=genes related to tendons.</w:t>
      </w:r>
    </w:p>
    <w:p w:rsidR="00151CB0" w:rsidRDefault="00151CB0" w:rsidP="00151C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HlxldkAdvTTaf7f9f4f.B"/>
          <w:sz w:val="20"/>
          <w:szCs w:val="20"/>
        </w:rPr>
      </w:pPr>
      <w:r w:rsidRPr="00AA60EC">
        <w:rPr>
          <w:rFonts w:cs="HlxldkAdvTTaf7f9f4f.B"/>
          <w:sz w:val="20"/>
          <w:szCs w:val="20"/>
        </w:rPr>
        <w:t xml:space="preserve">Note that the expression level detected for </w:t>
      </w:r>
      <w:r w:rsidRPr="00674402">
        <w:rPr>
          <w:rFonts w:cs="HlxldkAdvTTaf7f9f4f.B"/>
          <w:i/>
          <w:sz w:val="20"/>
          <w:szCs w:val="20"/>
        </w:rPr>
        <w:t>Scx</w:t>
      </w:r>
      <w:r w:rsidRPr="00AA60EC">
        <w:rPr>
          <w:rFonts w:cs="HlxldkAdvTTaf7f9f4f.B"/>
          <w:sz w:val="20"/>
          <w:szCs w:val="20"/>
        </w:rPr>
        <w:t xml:space="preserve"> also included that of </w:t>
      </w:r>
      <w:r w:rsidRPr="00674402">
        <w:rPr>
          <w:rFonts w:cs="HlxldkAdvTTaf7f9f4f.B"/>
          <w:i/>
          <w:sz w:val="20"/>
          <w:szCs w:val="20"/>
        </w:rPr>
        <w:t>ScxGFP</w:t>
      </w:r>
      <w:r>
        <w:rPr>
          <w:rFonts w:cs="HlxldkAdvTTaf7f9f4f.B"/>
          <w:sz w:val="20"/>
          <w:szCs w:val="20"/>
        </w:rPr>
        <w:t xml:space="preserve">, and therefore </w:t>
      </w:r>
      <w:r w:rsidRPr="00AA60EC">
        <w:rPr>
          <w:rFonts w:cs="HlxldkAdvTTaf7f9f4f.B"/>
          <w:sz w:val="20"/>
          <w:szCs w:val="20"/>
        </w:rPr>
        <w:t xml:space="preserve">do not reflect the expression level of endogenous </w:t>
      </w:r>
      <w:r w:rsidRPr="00674402">
        <w:rPr>
          <w:rFonts w:cs="HlxldkAdvTTaf7f9f4f.B"/>
          <w:i/>
          <w:sz w:val="20"/>
          <w:szCs w:val="20"/>
        </w:rPr>
        <w:t>Scx</w:t>
      </w:r>
      <w:r w:rsidRPr="00AA60EC">
        <w:rPr>
          <w:rFonts w:cs="HlxldkAdvTTaf7f9f4f.B"/>
          <w:sz w:val="20"/>
          <w:szCs w:val="20"/>
        </w:rPr>
        <w:t xml:space="preserve">. </w:t>
      </w:r>
    </w:p>
    <w:p w:rsidR="00151CB0" w:rsidRDefault="00151CB0" w:rsidP="00151CB0">
      <w:pPr>
        <w:pStyle w:val="ListParagraph"/>
        <w:spacing w:after="0" w:line="240" w:lineRule="auto"/>
        <w:ind w:left="360"/>
        <w:jc w:val="both"/>
        <w:rPr>
          <w:rFonts w:cs="HlxldkAdvTTaf7f9f4f.B"/>
          <w:sz w:val="20"/>
          <w:szCs w:val="20"/>
        </w:rPr>
      </w:pPr>
    </w:p>
    <w:p w:rsidR="00151CB0" w:rsidRDefault="00151CB0" w:rsidP="00151CB0">
      <w:pPr>
        <w:pStyle w:val="ListParagraph"/>
        <w:spacing w:after="0" w:line="240" w:lineRule="auto"/>
        <w:ind w:left="0"/>
        <w:jc w:val="both"/>
        <w:rPr>
          <w:rFonts w:cs="HlxldkAdvTTaf7f9f4f.B"/>
          <w:sz w:val="20"/>
          <w:szCs w:val="20"/>
        </w:rPr>
      </w:pPr>
    </w:p>
    <w:p w:rsidR="00151CB0" w:rsidRDefault="00151CB0" w:rsidP="00151CB0">
      <w:pPr>
        <w:pStyle w:val="ListParagraph"/>
        <w:spacing w:after="0" w:line="240" w:lineRule="auto"/>
        <w:ind w:left="0"/>
        <w:jc w:val="both"/>
        <w:rPr>
          <w:rFonts w:cs="HlxldkAdvTTaf7f9f4f.B"/>
          <w:sz w:val="20"/>
          <w:szCs w:val="20"/>
        </w:rPr>
      </w:pPr>
    </w:p>
    <w:p w:rsidR="00151CB0" w:rsidRDefault="00151CB0" w:rsidP="00151CB0">
      <w:pPr>
        <w:pStyle w:val="ListParagraph"/>
        <w:spacing w:after="0" w:line="240" w:lineRule="auto"/>
        <w:ind w:left="0"/>
        <w:jc w:val="both"/>
        <w:rPr>
          <w:rFonts w:cs="HlxldkAdvTTaf7f9f4f.B"/>
          <w:sz w:val="20"/>
          <w:szCs w:val="20"/>
        </w:rPr>
      </w:pPr>
    </w:p>
    <w:p w:rsidR="00151CB0" w:rsidRDefault="00151CB0" w:rsidP="00151CB0">
      <w:pPr>
        <w:pStyle w:val="ListParagraph"/>
        <w:spacing w:after="0" w:line="240" w:lineRule="auto"/>
        <w:ind w:left="0"/>
        <w:jc w:val="both"/>
        <w:rPr>
          <w:rFonts w:cs="HlxldkAdvTTaf7f9f4f.B"/>
          <w:sz w:val="20"/>
          <w:szCs w:val="20"/>
        </w:rPr>
      </w:pPr>
    </w:p>
    <w:p w:rsidR="00151CB0" w:rsidRPr="009B7528" w:rsidRDefault="00B431CD" w:rsidP="00B431CD">
      <w:pPr>
        <w:spacing w:after="120" w:line="288" w:lineRule="auto"/>
        <w:jc w:val="both"/>
        <w:rPr>
          <w:rFonts w:cs="HlxldkAdvTTaf7f9f4f.B"/>
          <w:sz w:val="24"/>
          <w:szCs w:val="24"/>
        </w:rPr>
      </w:pPr>
      <w:r>
        <w:rPr>
          <w:sz w:val="24"/>
          <w:szCs w:val="24"/>
        </w:rPr>
        <w:lastRenderedPageBreak/>
        <w:t xml:space="preserve">(B) </w:t>
      </w:r>
      <w:r>
        <w:rPr>
          <w:rFonts w:cs="HlxldkAdvTTaf7f9f4f.B"/>
          <w:sz w:val="24"/>
          <w:szCs w:val="24"/>
        </w:rPr>
        <w:t xml:space="preserve">Top 25 genes highly expressed in the dedifferentiated mutant cell cluster relative to other clusters in the P7 </w:t>
      </w:r>
      <w:r>
        <w:rPr>
          <w:rFonts w:cs="HlxldkAdvTTaf7f9f4f.B"/>
          <w:i/>
          <w:sz w:val="24"/>
          <w:szCs w:val="24"/>
        </w:rPr>
        <w:t>Tgfbr2;ScxCre</w:t>
      </w:r>
      <w:r>
        <w:rPr>
          <w:rFonts w:cs="HlxldkAdvTTaf7f9f4f.B"/>
          <w:sz w:val="24"/>
          <w:szCs w:val="24"/>
        </w:rPr>
        <w:t xml:space="preserve"> mutant tendon sample</w:t>
      </w:r>
      <w:r w:rsidR="00F41494">
        <w:rPr>
          <w:rFonts w:cs="HlxldkAdvTTaf7f9f4f.B"/>
          <w:sz w:val="24"/>
          <w:szCs w:val="24"/>
        </w:rPr>
        <w:t xml:space="preserve"> (</w:t>
      </w:r>
      <w:r w:rsidR="00F41494">
        <w:rPr>
          <w:rFonts w:cs="HlxldkAdvTTaf7f9f4f.B"/>
          <w:sz w:val="24"/>
          <w:szCs w:val="24"/>
        </w:rPr>
        <w:sym w:font="Symbol" w:char="F0B3"/>
      </w:r>
      <w:bookmarkStart w:id="0" w:name="_GoBack"/>
      <w:bookmarkEnd w:id="0"/>
      <w:r w:rsidR="00F41494">
        <w:rPr>
          <w:rFonts w:cs="HlxldkAdvTTaf7f9f4f.B"/>
          <w:sz w:val="24"/>
          <w:szCs w:val="24"/>
        </w:rPr>
        <w:t xml:space="preserve">1.5-fold change, adjusted </w:t>
      </w:r>
      <w:r w:rsidR="00F41494">
        <w:rPr>
          <w:rFonts w:cs="HlxldkAdvTTaf7f9f4f.B"/>
          <w:i/>
          <w:sz w:val="24"/>
          <w:szCs w:val="24"/>
        </w:rPr>
        <w:t>p</w:t>
      </w:r>
      <w:r w:rsidR="00F41494">
        <w:rPr>
          <w:rFonts w:cs="HlxldkAdvTTaf7f9f4f.B"/>
          <w:sz w:val="24"/>
          <w:szCs w:val="24"/>
        </w:rPr>
        <w:t>&lt;0.05)</w:t>
      </w:r>
      <w:r>
        <w:rPr>
          <w:rFonts w:cs="HlxldkAdvTTaf7f9f4f.B"/>
          <w:sz w:val="24"/>
          <w:szCs w:val="24"/>
        </w:rPr>
        <w:t xml:space="preserve">. </w:t>
      </w: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6480"/>
        <w:gridCol w:w="1350"/>
      </w:tblGrid>
      <w:tr w:rsidR="00151CB0" w:rsidRPr="000651D6" w:rsidTr="00DF3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0651D6" w:rsidRDefault="00151CB0" w:rsidP="00DF37B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651D6">
              <w:rPr>
                <w:sz w:val="20"/>
                <w:szCs w:val="20"/>
              </w:rPr>
              <w:t>Gene symbol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1D6">
              <w:rPr>
                <w:sz w:val="20"/>
                <w:szCs w:val="20"/>
              </w:rPr>
              <w:t>Gene name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1D6">
              <w:rPr>
                <w:sz w:val="20"/>
                <w:szCs w:val="20"/>
              </w:rPr>
              <w:t>Fold change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Apod</w:t>
            </w:r>
            <w:proofErr w:type="spellEnd"/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157370">
              <w:rPr>
                <w:color w:val="000000"/>
                <w:sz w:val="20"/>
                <w:szCs w:val="20"/>
              </w:rPr>
              <w:t>polipoprotein D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12.8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Cxcl14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157370">
              <w:rPr>
                <w:color w:val="000000"/>
                <w:sz w:val="20"/>
                <w:szCs w:val="20"/>
              </w:rPr>
              <w:t>hemokine (C-X-C motif) ligand 14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Ptn</w:t>
            </w:r>
            <w:proofErr w:type="spellEnd"/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</w:t>
            </w:r>
            <w:r w:rsidRPr="00157370">
              <w:rPr>
                <w:color w:val="000000"/>
                <w:sz w:val="20"/>
                <w:szCs w:val="20"/>
              </w:rPr>
              <w:t>leiotrophin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Itm2a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157370">
              <w:rPr>
                <w:color w:val="000000"/>
                <w:sz w:val="20"/>
                <w:szCs w:val="20"/>
              </w:rPr>
              <w:t>ntegral membrane protein 2A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6.8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Cxcl12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Chemokine (C-X-C motif) ligand 12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Serping1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157370">
              <w:rPr>
                <w:color w:val="000000"/>
                <w:sz w:val="20"/>
                <w:szCs w:val="20"/>
              </w:rPr>
              <w:t>erine (or cysteine) peptidase inhibitor, clade G, member 1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Clec3b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57370">
              <w:rPr>
                <w:color w:val="000000"/>
                <w:sz w:val="20"/>
                <w:szCs w:val="20"/>
              </w:rPr>
              <w:t>C-type lectin domain family 3, member b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Sfrp2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157370">
              <w:rPr>
                <w:color w:val="000000"/>
                <w:sz w:val="20"/>
                <w:szCs w:val="20"/>
              </w:rPr>
              <w:t>ecreted frizzled-related protein 2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Plpp3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157370">
              <w:rPr>
                <w:color w:val="000000"/>
                <w:sz w:val="20"/>
                <w:szCs w:val="20"/>
              </w:rPr>
              <w:t>hospholipid phosphatase 3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Igfbp3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916D60">
              <w:rPr>
                <w:color w:val="000000"/>
                <w:sz w:val="20"/>
                <w:szCs w:val="20"/>
              </w:rPr>
              <w:t>nsulin-like growth factor binding protein 3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Kera</w:t>
            </w:r>
            <w:proofErr w:type="spellEnd"/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</w:t>
            </w:r>
            <w:r w:rsidRPr="00916D60">
              <w:rPr>
                <w:color w:val="000000"/>
                <w:sz w:val="20"/>
                <w:szCs w:val="20"/>
              </w:rPr>
              <w:t>eratocan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Dlk1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916D60">
              <w:rPr>
                <w:color w:val="000000"/>
                <w:sz w:val="20"/>
                <w:szCs w:val="20"/>
              </w:rPr>
              <w:t>elta-like 1 homolog (Drosophila)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Gsn</w:t>
            </w:r>
            <w:proofErr w:type="spellEnd"/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  <w:r w:rsidRPr="00916D60">
              <w:rPr>
                <w:color w:val="000000"/>
                <w:sz w:val="20"/>
                <w:szCs w:val="20"/>
              </w:rPr>
              <w:t>elsolin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Ly6a</w:t>
            </w:r>
            <w:r w:rsidRPr="00674402">
              <w:rPr>
                <w:b w:val="0"/>
                <w:vertAlign w:val="superscript"/>
              </w:rPr>
              <w:sym w:font="Symbol" w:char="F06A"/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916D60">
              <w:rPr>
                <w:color w:val="000000"/>
                <w:sz w:val="20"/>
                <w:szCs w:val="20"/>
              </w:rPr>
              <w:t>ymphocyte antigen 6 complex, locus A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Igf1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916D60">
              <w:rPr>
                <w:color w:val="000000"/>
                <w:sz w:val="20"/>
                <w:szCs w:val="20"/>
              </w:rPr>
              <w:t>nsulin-like growth factor 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Dpt</w:t>
            </w:r>
            <w:proofErr w:type="spellEnd"/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 w:rsidRPr="00916D60">
              <w:rPr>
                <w:color w:val="000000"/>
                <w:sz w:val="20"/>
                <w:szCs w:val="20"/>
              </w:rPr>
              <w:t>ermatopontin</w:t>
            </w:r>
            <w:proofErr w:type="spellEnd"/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Cd34</w:t>
            </w:r>
            <w:r w:rsidRPr="00674402">
              <w:rPr>
                <w:b w:val="0"/>
                <w:vertAlign w:val="superscript"/>
              </w:rPr>
              <w:sym w:font="Symbol" w:char="F06A"/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16D60">
              <w:rPr>
                <w:color w:val="000000"/>
                <w:sz w:val="20"/>
                <w:szCs w:val="20"/>
              </w:rPr>
              <w:t>CD34 antigen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H19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916D60">
              <w:rPr>
                <w:color w:val="000000"/>
                <w:sz w:val="20"/>
                <w:szCs w:val="20"/>
              </w:rPr>
              <w:t>adherin 19, type 2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Ly6c1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916D60">
              <w:rPr>
                <w:color w:val="000000"/>
                <w:sz w:val="20"/>
                <w:szCs w:val="20"/>
              </w:rPr>
              <w:t>ymphocyte antigen 6 complex, locus C1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Ifitm3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916D60">
              <w:rPr>
                <w:color w:val="000000"/>
                <w:sz w:val="20"/>
                <w:szCs w:val="20"/>
              </w:rPr>
              <w:t>nterferon induced transmembrane protein 3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Mgst1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916D60">
              <w:rPr>
                <w:color w:val="000000"/>
                <w:sz w:val="20"/>
                <w:szCs w:val="20"/>
              </w:rPr>
              <w:t>icrosomal glutathione S-transferase 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Lum</w:t>
            </w:r>
            <w:proofErr w:type="spellEnd"/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</w:t>
            </w:r>
            <w:r w:rsidRPr="00916D60">
              <w:rPr>
                <w:color w:val="000000"/>
                <w:sz w:val="20"/>
                <w:szCs w:val="20"/>
              </w:rPr>
              <w:t>umican</w:t>
            </w:r>
            <w:proofErr w:type="spellEnd"/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proofErr w:type="spellStart"/>
            <w:r w:rsidRPr="00674402">
              <w:rPr>
                <w:b w:val="0"/>
                <w:i/>
                <w:color w:val="000000"/>
                <w:sz w:val="20"/>
                <w:szCs w:val="20"/>
              </w:rPr>
              <w:t>Mgp</w:t>
            </w:r>
            <w:proofErr w:type="spellEnd"/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916D60">
              <w:rPr>
                <w:color w:val="000000"/>
                <w:sz w:val="20"/>
                <w:szCs w:val="20"/>
              </w:rPr>
              <w:t xml:space="preserve">atrix </w:t>
            </w:r>
            <w:proofErr w:type="spellStart"/>
            <w:r w:rsidRPr="00916D60">
              <w:rPr>
                <w:color w:val="000000"/>
                <w:sz w:val="20"/>
                <w:szCs w:val="20"/>
              </w:rPr>
              <w:t>Gla</w:t>
            </w:r>
            <w:proofErr w:type="spellEnd"/>
            <w:r w:rsidRPr="00916D60">
              <w:rPr>
                <w:color w:val="000000"/>
                <w:sz w:val="20"/>
                <w:szCs w:val="20"/>
              </w:rPr>
              <w:t xml:space="preserve"> protein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</w:tr>
      <w:tr w:rsidR="00151CB0" w:rsidRPr="000651D6" w:rsidTr="00DF3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Spon2</w:t>
            </w:r>
          </w:p>
        </w:tc>
        <w:tc>
          <w:tcPr>
            <w:tcW w:w="6480" w:type="dxa"/>
          </w:tcPr>
          <w:p w:rsidR="00151CB0" w:rsidRPr="000651D6" w:rsidRDefault="00151CB0" w:rsidP="00DF37B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</w:t>
            </w:r>
            <w:r w:rsidRPr="00916D60">
              <w:rPr>
                <w:color w:val="000000"/>
                <w:sz w:val="20"/>
                <w:szCs w:val="20"/>
              </w:rPr>
              <w:t>pondin</w:t>
            </w:r>
            <w:proofErr w:type="spellEnd"/>
            <w:r w:rsidRPr="00916D60">
              <w:rPr>
                <w:color w:val="000000"/>
                <w:sz w:val="20"/>
                <w:szCs w:val="20"/>
              </w:rPr>
              <w:t xml:space="preserve"> 2, extracellular matrix protein</w:t>
            </w:r>
          </w:p>
        </w:tc>
        <w:tc>
          <w:tcPr>
            <w:tcW w:w="1350" w:type="dxa"/>
          </w:tcPr>
          <w:p w:rsidR="00151CB0" w:rsidRPr="000651D6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151CB0" w:rsidRPr="000651D6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:rsidR="00151CB0" w:rsidRPr="00674402" w:rsidRDefault="00151CB0" w:rsidP="00DF37B9">
            <w:pPr>
              <w:spacing w:line="288" w:lineRule="auto"/>
              <w:rPr>
                <w:b w:val="0"/>
                <w:i/>
                <w:color w:val="000000"/>
                <w:sz w:val="20"/>
                <w:szCs w:val="20"/>
              </w:rPr>
            </w:pPr>
            <w:r w:rsidRPr="00674402">
              <w:rPr>
                <w:b w:val="0"/>
                <w:i/>
                <w:color w:val="000000"/>
                <w:sz w:val="20"/>
                <w:szCs w:val="20"/>
              </w:rPr>
              <w:t>Igf2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916D60">
              <w:rPr>
                <w:color w:val="000000"/>
                <w:sz w:val="20"/>
                <w:szCs w:val="20"/>
              </w:rPr>
              <w:t>nsulin-like growth factor 2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151CB0" w:rsidRPr="000651D6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</w:tbl>
    <w:p w:rsidR="00151CB0" w:rsidRDefault="00151CB0" w:rsidP="00151CB0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Note: </w:t>
      </w:r>
    </w:p>
    <w:p w:rsidR="00151CB0" w:rsidRDefault="00151CB0" w:rsidP="00151CB0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sym w:font="Symbol" w:char="F06A"/>
      </w:r>
      <w:r w:rsidRPr="00157370">
        <w:rPr>
          <w:sz w:val="20"/>
          <w:szCs w:val="20"/>
        </w:rPr>
        <w:t xml:space="preserve">=genes in which the encoding protein expression in the mutant cells </w:t>
      </w:r>
      <w:r>
        <w:rPr>
          <w:sz w:val="20"/>
          <w:szCs w:val="20"/>
        </w:rPr>
        <w:t>was</w:t>
      </w:r>
      <w:r w:rsidRPr="00157370">
        <w:rPr>
          <w:sz w:val="20"/>
          <w:szCs w:val="20"/>
        </w:rPr>
        <w:t xml:space="preserve"> </w:t>
      </w:r>
      <w:r>
        <w:rPr>
          <w:sz w:val="20"/>
          <w:szCs w:val="20"/>
        </w:rPr>
        <w:t>confirmed by immunostaining</w:t>
      </w:r>
      <w:r w:rsidRPr="00157370">
        <w:rPr>
          <w:sz w:val="20"/>
          <w:szCs w:val="20"/>
        </w:rPr>
        <w:t>.</w:t>
      </w:r>
    </w:p>
    <w:p w:rsidR="00151CB0" w:rsidRPr="00157370" w:rsidRDefault="00151CB0" w:rsidP="00151CB0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dedifferentiated mutant cell cluster was also identified based on the absence of tendon markers on the significant gene list.</w:t>
      </w:r>
    </w:p>
    <w:p w:rsidR="00151CB0" w:rsidRDefault="00151CB0" w:rsidP="00151CB0">
      <w:pPr>
        <w:spacing w:after="0" w:line="240" w:lineRule="auto"/>
        <w:rPr>
          <w:sz w:val="20"/>
          <w:szCs w:val="20"/>
        </w:rPr>
      </w:pPr>
    </w:p>
    <w:p w:rsidR="00151CB0" w:rsidRDefault="00151CB0" w:rsidP="00151CB0">
      <w:pPr>
        <w:spacing w:after="0" w:line="240" w:lineRule="auto"/>
        <w:rPr>
          <w:sz w:val="20"/>
          <w:szCs w:val="20"/>
        </w:rPr>
      </w:pPr>
    </w:p>
    <w:p w:rsidR="00151CB0" w:rsidRDefault="00151CB0" w:rsidP="00151CB0">
      <w:pPr>
        <w:spacing w:after="0" w:line="288" w:lineRule="auto"/>
        <w:jc w:val="both"/>
        <w:rPr>
          <w:b/>
          <w:sz w:val="24"/>
          <w:szCs w:val="24"/>
        </w:rPr>
      </w:pPr>
    </w:p>
    <w:p w:rsidR="00151CB0" w:rsidRDefault="00151CB0" w:rsidP="00151CB0">
      <w:pPr>
        <w:spacing w:after="0" w:line="288" w:lineRule="auto"/>
        <w:jc w:val="both"/>
        <w:rPr>
          <w:b/>
          <w:sz w:val="24"/>
          <w:szCs w:val="24"/>
        </w:rPr>
      </w:pPr>
    </w:p>
    <w:p w:rsidR="00151CB0" w:rsidRDefault="00151CB0" w:rsidP="00151CB0">
      <w:pPr>
        <w:spacing w:after="0" w:line="288" w:lineRule="auto"/>
        <w:jc w:val="both"/>
        <w:rPr>
          <w:b/>
          <w:sz w:val="24"/>
          <w:szCs w:val="24"/>
        </w:rPr>
      </w:pPr>
    </w:p>
    <w:p w:rsidR="00151CB0" w:rsidRDefault="00151CB0" w:rsidP="00151CB0">
      <w:pPr>
        <w:spacing w:after="0" w:line="288" w:lineRule="auto"/>
        <w:jc w:val="both"/>
        <w:rPr>
          <w:b/>
          <w:sz w:val="24"/>
          <w:szCs w:val="24"/>
        </w:rPr>
      </w:pPr>
    </w:p>
    <w:p w:rsidR="00151CB0" w:rsidRPr="009F0586" w:rsidRDefault="00151CB0" w:rsidP="00151CB0">
      <w:pPr>
        <w:spacing w:after="0" w:line="288" w:lineRule="auto"/>
        <w:jc w:val="both"/>
        <w:rPr>
          <w:b/>
          <w:sz w:val="24"/>
          <w:szCs w:val="24"/>
        </w:rPr>
      </w:pPr>
    </w:p>
    <w:sectPr w:rsidR="00151CB0" w:rsidRPr="009F0586" w:rsidSect="000D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lxldkAdvTTaf7f9f4f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C06"/>
    <w:multiLevelType w:val="hybridMultilevel"/>
    <w:tmpl w:val="D548B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621AA"/>
    <w:multiLevelType w:val="hybridMultilevel"/>
    <w:tmpl w:val="33DA92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1323E3"/>
    <w:multiLevelType w:val="hybridMultilevel"/>
    <w:tmpl w:val="EAC64D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7455D4"/>
    <w:multiLevelType w:val="hybridMultilevel"/>
    <w:tmpl w:val="0352E052"/>
    <w:lvl w:ilvl="0" w:tplc="6DACF31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B0"/>
    <w:rsid w:val="000D7C95"/>
    <w:rsid w:val="00151CB0"/>
    <w:rsid w:val="00326FA5"/>
    <w:rsid w:val="007A793A"/>
    <w:rsid w:val="00847BF4"/>
    <w:rsid w:val="008E2964"/>
    <w:rsid w:val="00B431CD"/>
    <w:rsid w:val="00CF6A5F"/>
    <w:rsid w:val="00F4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B0"/>
    <w:pPr>
      <w:ind w:left="720"/>
      <w:contextualSpacing/>
    </w:pPr>
  </w:style>
  <w:style w:type="table" w:styleId="LightShading">
    <w:name w:val="Light Shading"/>
    <w:basedOn w:val="TableNormal"/>
    <w:uiPriority w:val="60"/>
    <w:rsid w:val="00151C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B0"/>
    <w:pPr>
      <w:ind w:left="720"/>
      <w:contextualSpacing/>
    </w:pPr>
  </w:style>
  <w:style w:type="table" w:styleId="LightShading">
    <w:name w:val="Light Shading"/>
    <w:basedOn w:val="TableNormal"/>
    <w:uiPriority w:val="60"/>
    <w:rsid w:val="00151C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Tan, Guak Kim</dc:creator>
  <cp:lastModifiedBy>Tan, Guak Kim</cp:lastModifiedBy>
  <cp:revision>5</cp:revision>
  <dcterms:created xsi:type="dcterms:W3CDTF">2019-12-31T00:22:00Z</dcterms:created>
  <dcterms:modified xsi:type="dcterms:W3CDTF">2020-01-01T02:24:00Z</dcterms:modified>
</cp:coreProperties>
</file>