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B6DCE" w14:textId="67CF2FE6" w:rsidR="00190D1A" w:rsidRPr="00B0514A" w:rsidRDefault="00190D1A" w:rsidP="00190D1A">
      <w:pPr>
        <w:rPr>
          <w:rFonts w:ascii="Calibri" w:hAnsi="Calibri" w:cs="Times New Roman"/>
          <w:b/>
        </w:rPr>
      </w:pPr>
      <w:r w:rsidRPr="00B0514A">
        <w:rPr>
          <w:rFonts w:ascii="Calibri" w:hAnsi="Calibri" w:cs="Times New Roman"/>
          <w:b/>
        </w:rPr>
        <w:t>Supplementa</w:t>
      </w:r>
      <w:r>
        <w:rPr>
          <w:rFonts w:ascii="Calibri" w:hAnsi="Calibri" w:cs="Times New Roman"/>
          <w:b/>
        </w:rPr>
        <w:t>ry</w:t>
      </w:r>
      <w:r w:rsidRPr="00B0514A">
        <w:rPr>
          <w:rFonts w:ascii="Calibri" w:hAnsi="Calibri" w:cs="Times New Roman"/>
          <w:b/>
        </w:rPr>
        <w:t xml:space="preserve"> Table 2</w:t>
      </w:r>
    </w:p>
    <w:p w14:paraId="4FA42F82" w14:textId="0B3CFCE6" w:rsidR="00190D1A" w:rsidRPr="00190D1A" w:rsidRDefault="00190D1A">
      <w:pPr>
        <w:rPr>
          <w:rFonts w:ascii="Calibri" w:hAnsi="Calibri" w:cs="Times New Roman"/>
          <w:bCs/>
        </w:rPr>
      </w:pPr>
      <w:r w:rsidRPr="00190D1A">
        <w:rPr>
          <w:rFonts w:ascii="Calibri" w:hAnsi="Calibri" w:cs="Times New Roman"/>
          <w:bCs/>
        </w:rPr>
        <w:t>Antibodies used in the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0"/>
        <w:gridCol w:w="2004"/>
        <w:gridCol w:w="1785"/>
        <w:gridCol w:w="1711"/>
      </w:tblGrid>
      <w:tr w:rsidR="00190D1A" w:rsidRPr="00B0514A" w14:paraId="4438303E" w14:textId="77777777" w:rsidTr="00637B5C">
        <w:tc>
          <w:tcPr>
            <w:tcW w:w="3850" w:type="dxa"/>
          </w:tcPr>
          <w:p w14:paraId="1824E66C" w14:textId="77777777" w:rsidR="00190D1A" w:rsidRPr="00B0514A" w:rsidRDefault="00190D1A" w:rsidP="00637B5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b/>
                <w:sz w:val="20"/>
                <w:szCs w:val="20"/>
              </w:rPr>
              <w:t>Antibody</w:t>
            </w:r>
          </w:p>
        </w:tc>
        <w:tc>
          <w:tcPr>
            <w:tcW w:w="2004" w:type="dxa"/>
          </w:tcPr>
          <w:p w14:paraId="5AA888C3" w14:textId="77777777" w:rsidR="00190D1A" w:rsidRPr="00B0514A" w:rsidRDefault="00190D1A" w:rsidP="00637B5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b/>
                <w:sz w:val="20"/>
                <w:szCs w:val="20"/>
              </w:rPr>
              <w:t>Source or Reference</w:t>
            </w:r>
          </w:p>
        </w:tc>
        <w:tc>
          <w:tcPr>
            <w:tcW w:w="1785" w:type="dxa"/>
          </w:tcPr>
          <w:p w14:paraId="0E937E47" w14:textId="77777777" w:rsidR="00190D1A" w:rsidRPr="00B0514A" w:rsidRDefault="00190D1A" w:rsidP="00637B5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b/>
                <w:sz w:val="20"/>
                <w:szCs w:val="20"/>
              </w:rPr>
              <w:t>Catalog Number or Designation</w:t>
            </w:r>
          </w:p>
        </w:tc>
        <w:tc>
          <w:tcPr>
            <w:tcW w:w="1711" w:type="dxa"/>
          </w:tcPr>
          <w:p w14:paraId="4B6030AD" w14:textId="77777777" w:rsidR="00190D1A" w:rsidRPr="00B0514A" w:rsidRDefault="00190D1A" w:rsidP="00637B5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b/>
                <w:sz w:val="20"/>
                <w:szCs w:val="20"/>
              </w:rPr>
              <w:t>Dilution</w:t>
            </w:r>
          </w:p>
        </w:tc>
      </w:tr>
      <w:tr w:rsidR="00190D1A" w:rsidRPr="00B0514A" w14:paraId="17FFDA78" w14:textId="77777777" w:rsidTr="00637B5C">
        <w:tc>
          <w:tcPr>
            <w:tcW w:w="9350" w:type="dxa"/>
            <w:gridSpan w:val="4"/>
            <w:shd w:val="clear" w:color="auto" w:fill="D9D9D9" w:themeFill="background1" w:themeFillShade="D9"/>
          </w:tcPr>
          <w:p w14:paraId="3A9F9ABB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Immunostaining, Primary Antibodies</w:t>
            </w:r>
          </w:p>
        </w:tc>
      </w:tr>
      <w:tr w:rsidR="00190D1A" w:rsidRPr="00B0514A" w14:paraId="1C28E275" w14:textId="77777777" w:rsidTr="00637B5C">
        <w:tc>
          <w:tcPr>
            <w:tcW w:w="3850" w:type="dxa"/>
          </w:tcPr>
          <w:p w14:paraId="4D6CDB99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Mouse anti-FLAG, IgG1</w:t>
            </w:r>
          </w:p>
        </w:tc>
        <w:tc>
          <w:tcPr>
            <w:tcW w:w="2004" w:type="dxa"/>
          </w:tcPr>
          <w:p w14:paraId="64316AA6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Sigma-Aldrich</w:t>
            </w:r>
          </w:p>
        </w:tc>
        <w:tc>
          <w:tcPr>
            <w:tcW w:w="1785" w:type="dxa"/>
          </w:tcPr>
          <w:p w14:paraId="56D55BFD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F1804</w:t>
            </w:r>
          </w:p>
        </w:tc>
        <w:tc>
          <w:tcPr>
            <w:tcW w:w="1711" w:type="dxa"/>
          </w:tcPr>
          <w:p w14:paraId="5236D226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1:1,000</w:t>
            </w:r>
          </w:p>
        </w:tc>
      </w:tr>
      <w:tr w:rsidR="00190D1A" w:rsidRPr="00B0514A" w14:paraId="63839BC2" w14:textId="77777777" w:rsidTr="00637B5C">
        <w:tc>
          <w:tcPr>
            <w:tcW w:w="3850" w:type="dxa"/>
          </w:tcPr>
          <w:p w14:paraId="6784767F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Rabbit monoclonal anti-GFP, IgG</w:t>
            </w:r>
          </w:p>
        </w:tc>
        <w:tc>
          <w:tcPr>
            <w:tcW w:w="2004" w:type="dxa"/>
          </w:tcPr>
          <w:p w14:paraId="5FC2D7BA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Thermo-Fisher</w:t>
            </w:r>
          </w:p>
        </w:tc>
        <w:tc>
          <w:tcPr>
            <w:tcW w:w="1785" w:type="dxa"/>
          </w:tcPr>
          <w:p w14:paraId="50DAE27F" w14:textId="77777777" w:rsidR="00190D1A" w:rsidRPr="00B0514A" w:rsidRDefault="00190D1A" w:rsidP="00637B5C">
            <w:pPr>
              <w:ind w:right="-120"/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G10362</w:t>
            </w:r>
          </w:p>
        </w:tc>
        <w:tc>
          <w:tcPr>
            <w:tcW w:w="1711" w:type="dxa"/>
          </w:tcPr>
          <w:p w14:paraId="782FF980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1:200</w:t>
            </w:r>
          </w:p>
        </w:tc>
      </w:tr>
      <w:tr w:rsidR="00190D1A" w:rsidRPr="00B0514A" w14:paraId="2F13D5EF" w14:textId="77777777" w:rsidTr="00637B5C">
        <w:tc>
          <w:tcPr>
            <w:tcW w:w="3850" w:type="dxa"/>
          </w:tcPr>
          <w:p w14:paraId="4AFB4FD8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Mouse anti-phospho-Histone H3 pSer10 6G3, IgG1</w:t>
            </w:r>
          </w:p>
        </w:tc>
        <w:tc>
          <w:tcPr>
            <w:tcW w:w="2004" w:type="dxa"/>
          </w:tcPr>
          <w:p w14:paraId="263300AA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Cell Signaling Technology</w:t>
            </w:r>
          </w:p>
        </w:tc>
        <w:tc>
          <w:tcPr>
            <w:tcW w:w="1785" w:type="dxa"/>
          </w:tcPr>
          <w:p w14:paraId="0DAD4284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9706</w:t>
            </w:r>
          </w:p>
        </w:tc>
        <w:tc>
          <w:tcPr>
            <w:tcW w:w="1711" w:type="dxa"/>
          </w:tcPr>
          <w:p w14:paraId="4ADD83BD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1:400</w:t>
            </w:r>
          </w:p>
        </w:tc>
      </w:tr>
      <w:tr w:rsidR="00190D1A" w:rsidRPr="00B0514A" w14:paraId="697E3D7D" w14:textId="77777777" w:rsidTr="00637B5C">
        <w:tc>
          <w:tcPr>
            <w:tcW w:w="3850" w:type="dxa"/>
          </w:tcPr>
          <w:p w14:paraId="2702F75C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Rabbit anti-REC-8, IgG</w:t>
            </w:r>
          </w:p>
        </w:tc>
        <w:tc>
          <w:tcPr>
            <w:tcW w:w="2004" w:type="dxa"/>
          </w:tcPr>
          <w:p w14:paraId="37D84D7A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Novus Biologicals</w:t>
            </w:r>
          </w:p>
        </w:tc>
        <w:tc>
          <w:tcPr>
            <w:tcW w:w="1785" w:type="dxa"/>
          </w:tcPr>
          <w:p w14:paraId="00211EFC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29470002</w:t>
            </w:r>
          </w:p>
        </w:tc>
        <w:tc>
          <w:tcPr>
            <w:tcW w:w="1711" w:type="dxa"/>
          </w:tcPr>
          <w:p w14:paraId="11AE5EF9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1:500</w:t>
            </w:r>
          </w:p>
        </w:tc>
      </w:tr>
      <w:tr w:rsidR="00190D1A" w:rsidRPr="00B0514A" w14:paraId="0574E6E8" w14:textId="77777777" w:rsidTr="00637B5C">
        <w:tc>
          <w:tcPr>
            <w:tcW w:w="3850" w:type="dxa"/>
          </w:tcPr>
          <w:p w14:paraId="2B09D41C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Mouse anti-PGL-1, IgM</w:t>
            </w:r>
          </w:p>
        </w:tc>
        <w:tc>
          <w:tcPr>
            <w:tcW w:w="2004" w:type="dxa"/>
          </w:tcPr>
          <w:p w14:paraId="331B1136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DSHB</w:t>
            </w:r>
          </w:p>
        </w:tc>
        <w:tc>
          <w:tcPr>
            <w:tcW w:w="1785" w:type="dxa"/>
          </w:tcPr>
          <w:p w14:paraId="307012B2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K76</w:t>
            </w:r>
          </w:p>
        </w:tc>
        <w:tc>
          <w:tcPr>
            <w:tcW w:w="1711" w:type="dxa"/>
          </w:tcPr>
          <w:p w14:paraId="5689F47B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 xml:space="preserve">5.2 </w:t>
            </w:r>
            <w:proofErr w:type="spellStart"/>
            <w:r w:rsidRPr="00B0514A">
              <w:rPr>
                <w:rFonts w:ascii="Calibri" w:hAnsi="Calibri" w:cs="Times New Roman"/>
                <w:sz w:val="20"/>
                <w:szCs w:val="20"/>
              </w:rPr>
              <w:t>μg</w:t>
            </w:r>
            <w:proofErr w:type="spellEnd"/>
            <w:r w:rsidRPr="00B0514A">
              <w:rPr>
                <w:rFonts w:ascii="Calibri" w:hAnsi="Calibri" w:cs="Times New Roman"/>
                <w:sz w:val="20"/>
                <w:szCs w:val="20"/>
              </w:rPr>
              <w:t xml:space="preserve">/ml </w:t>
            </w:r>
          </w:p>
        </w:tc>
      </w:tr>
      <w:tr w:rsidR="00190D1A" w:rsidRPr="00B0514A" w14:paraId="37F88EDC" w14:textId="77777777" w:rsidTr="00637B5C">
        <w:tc>
          <w:tcPr>
            <w:tcW w:w="3850" w:type="dxa"/>
          </w:tcPr>
          <w:p w14:paraId="70CB0C0C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Rabbit anti-FBF-1, IgG</w:t>
            </w:r>
          </w:p>
        </w:tc>
        <w:tc>
          <w:tcPr>
            <w:tcW w:w="2004" w:type="dxa"/>
          </w:tcPr>
          <w:p w14:paraId="389A2A49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fldChar w:fldCharType="begin"/>
            </w:r>
            <w:r>
              <w:rPr>
                <w:rFonts w:ascii="Calibri" w:hAnsi="Calibri" w:cs="Times New Roman"/>
                <w:sz w:val="20"/>
                <w:szCs w:val="20"/>
              </w:rPr>
              <w:instrText xml:space="preserve"> ADDIN EN.CITE &lt;EndNote&gt;&lt;Cite&gt;&lt;Author&gt;Voronina&lt;/Author&gt;&lt;Year&gt;2012&lt;/Year&gt;&lt;IDText&gt;The P granule component PGL-1 promotes the localization and silencing activity of the PUF protein FBF-2 in germline stem cells&lt;/IDText&gt;&lt;DisplayText&gt;(Voronina et al., 2012)&lt;/DisplayText&gt;&lt;record&gt;&lt;dates&gt;&lt;pub-dates&gt;&lt;date&gt;Oct&lt;/date&gt;&lt;/pub-dates&gt;&lt;year&gt;2012&lt;/year&gt;&lt;/dates&gt;&lt;keywords&gt;&lt;keyword&gt;Animals&lt;/keyword&gt;&lt;keyword&gt;Binding Sites&lt;/keyword&gt;&lt;keyword&gt;Caenorhabditis elegans&lt;/keyword&gt;&lt;keyword&gt;Caenorhabditis elegans Proteins&lt;/keyword&gt;&lt;keyword&gt;Embryonic Stem Cells&lt;/keyword&gt;&lt;keyword&gt;Gene Expression Regulation, Developmental&lt;/keyword&gt;&lt;keyword&gt;Germ Cells&lt;/keyword&gt;&lt;keyword&gt;Meiosis&lt;/keyword&gt;&lt;keyword&gt;RNA Interference&lt;/keyword&gt;&lt;keyword&gt;RNA, Messenger&lt;/keyword&gt;&lt;keyword&gt;RNA, Small Interfering&lt;/keyword&gt;&lt;keyword&gt;RNA-Binding Proteins&lt;/keyword&gt;&lt;/keywords&gt;&lt;urls&gt;&lt;related-urls&gt;&lt;url&gt;https://www.ncbi.nlm.nih.gov/pubmed/22991439&lt;/url&gt;&lt;/related-urls&gt;&lt;/urls&gt;&lt;isbn&gt;1477-9129&lt;/isbn&gt;&lt;custom2&gt;PMC3445306&lt;/custom2&gt;&lt;titles&gt;&lt;title&gt;The P granule component PGL-1 promotes the localization and silencing activity of the PUF protein FBF-2 in germline stem cells&lt;/title&gt;&lt;secondary-title&gt;Development&lt;/secondary-title&gt;&lt;/titles&gt;&lt;pages&gt;3732-40&lt;/pages&gt;&lt;number&gt;20&lt;/number&gt;&lt;contributors&gt;&lt;authors&gt;&lt;author&gt;Voronina, E.&lt;/author&gt;&lt;author&gt;Paix, A.&lt;/author&gt;&lt;author&gt;Seydoux, G.&lt;/author&gt;&lt;/authors&gt;&lt;/contributors&gt;&lt;language&gt;eng&lt;/language&gt;&lt;added-date format="utc"&gt;1563981819&lt;/added-date&gt;&lt;ref-type name="Journal Article"&gt;17&lt;/ref-type&gt;&lt;rec-number&gt;71&lt;/rec-number&gt;&lt;last-updated-date format="utc"&gt;1563981819&lt;/last-updated-date&gt;&lt;accession-num&gt;22991439&lt;/accession-num&gt;&lt;electronic-resource-num&gt;10.1242/dev.083980&lt;/electronic-resource-num&gt;&lt;volume&gt;139&lt;/volume&gt;&lt;/record&gt;&lt;/Cite&gt;&lt;/EndNote&gt;</w:instrText>
            </w:r>
            <w:r w:rsidRPr="00B0514A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hAnsi="Calibri" w:cs="Times New Roman"/>
                <w:noProof/>
                <w:sz w:val="20"/>
                <w:szCs w:val="20"/>
              </w:rPr>
              <w:t>(Voronina et al., 2012)</w:t>
            </w:r>
            <w:r w:rsidRPr="00B0514A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</w:tcPr>
          <w:p w14:paraId="0D550B2A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PA2388</w:t>
            </w:r>
          </w:p>
        </w:tc>
        <w:tc>
          <w:tcPr>
            <w:tcW w:w="1711" w:type="dxa"/>
          </w:tcPr>
          <w:p w14:paraId="1299F92B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 xml:space="preserve">3.5 </w:t>
            </w:r>
            <w:proofErr w:type="spellStart"/>
            <w:r w:rsidRPr="00B0514A">
              <w:rPr>
                <w:rFonts w:ascii="Calibri" w:hAnsi="Calibri" w:cs="Times New Roman"/>
                <w:sz w:val="20"/>
                <w:szCs w:val="20"/>
              </w:rPr>
              <w:t>μg</w:t>
            </w:r>
            <w:proofErr w:type="spellEnd"/>
            <w:r w:rsidRPr="00B0514A">
              <w:rPr>
                <w:rFonts w:ascii="Calibri" w:hAnsi="Calibri" w:cs="Times New Roman"/>
                <w:sz w:val="20"/>
                <w:szCs w:val="20"/>
              </w:rPr>
              <w:t xml:space="preserve">/ml </w:t>
            </w:r>
          </w:p>
        </w:tc>
      </w:tr>
      <w:tr w:rsidR="00190D1A" w:rsidRPr="00B0514A" w14:paraId="2A2EF3E8" w14:textId="77777777" w:rsidTr="00637B5C">
        <w:tc>
          <w:tcPr>
            <w:tcW w:w="9350" w:type="dxa"/>
            <w:gridSpan w:val="4"/>
            <w:shd w:val="clear" w:color="auto" w:fill="D9D9D9" w:themeFill="background1" w:themeFillShade="D9"/>
          </w:tcPr>
          <w:p w14:paraId="558D5627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Immunostaining, Secondary Antibodies</w:t>
            </w:r>
          </w:p>
        </w:tc>
      </w:tr>
      <w:tr w:rsidR="00190D1A" w:rsidRPr="00B0514A" w14:paraId="3B3335FE" w14:textId="77777777" w:rsidTr="00637B5C">
        <w:tc>
          <w:tcPr>
            <w:tcW w:w="3850" w:type="dxa"/>
          </w:tcPr>
          <w:p w14:paraId="664FC7AC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Alexa Fluor 594-conjugated goat anti-mouse IgG (H+L)</w:t>
            </w:r>
          </w:p>
        </w:tc>
        <w:tc>
          <w:tcPr>
            <w:tcW w:w="2004" w:type="dxa"/>
          </w:tcPr>
          <w:p w14:paraId="1DABFAC3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 xml:space="preserve">Jackson </w:t>
            </w:r>
            <w:proofErr w:type="spellStart"/>
            <w:r w:rsidRPr="00B0514A">
              <w:rPr>
                <w:rFonts w:ascii="Calibri" w:hAnsi="Calibri" w:cs="Times New Roman"/>
                <w:sz w:val="20"/>
                <w:szCs w:val="20"/>
              </w:rPr>
              <w:t>ImmunoResearch</w:t>
            </w:r>
            <w:proofErr w:type="spellEnd"/>
          </w:p>
        </w:tc>
        <w:tc>
          <w:tcPr>
            <w:tcW w:w="1785" w:type="dxa"/>
          </w:tcPr>
          <w:p w14:paraId="69BFC62E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14:paraId="7D22CD84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1:500</w:t>
            </w:r>
          </w:p>
        </w:tc>
      </w:tr>
      <w:tr w:rsidR="00190D1A" w:rsidRPr="00B0514A" w14:paraId="2A9564B7" w14:textId="77777777" w:rsidTr="00637B5C">
        <w:tc>
          <w:tcPr>
            <w:tcW w:w="3850" w:type="dxa"/>
          </w:tcPr>
          <w:p w14:paraId="36AB20A0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Alexa Fluor 594-conjugated goat anti-rabbit IgG (H+L)</w:t>
            </w:r>
          </w:p>
        </w:tc>
        <w:tc>
          <w:tcPr>
            <w:tcW w:w="2004" w:type="dxa"/>
          </w:tcPr>
          <w:p w14:paraId="5E0F5B50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 xml:space="preserve">Jackson </w:t>
            </w:r>
            <w:proofErr w:type="spellStart"/>
            <w:r w:rsidRPr="00B0514A">
              <w:rPr>
                <w:rFonts w:ascii="Calibri" w:hAnsi="Calibri" w:cs="Times New Roman"/>
                <w:sz w:val="20"/>
                <w:szCs w:val="20"/>
              </w:rPr>
              <w:t>ImmunoResearch</w:t>
            </w:r>
            <w:proofErr w:type="spellEnd"/>
          </w:p>
        </w:tc>
        <w:tc>
          <w:tcPr>
            <w:tcW w:w="1785" w:type="dxa"/>
          </w:tcPr>
          <w:p w14:paraId="0E2EE6F4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14:paraId="385EDEC8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1:500</w:t>
            </w:r>
          </w:p>
        </w:tc>
      </w:tr>
      <w:tr w:rsidR="00190D1A" w:rsidRPr="00B0514A" w14:paraId="0A16C748" w14:textId="77777777" w:rsidTr="00637B5C">
        <w:tc>
          <w:tcPr>
            <w:tcW w:w="3850" w:type="dxa"/>
          </w:tcPr>
          <w:p w14:paraId="404593F3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Alexa Fluor 488-conjugated goat anti-rabbit IgG</w:t>
            </w:r>
          </w:p>
        </w:tc>
        <w:tc>
          <w:tcPr>
            <w:tcW w:w="2004" w:type="dxa"/>
          </w:tcPr>
          <w:p w14:paraId="4849B874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 xml:space="preserve">Jackson </w:t>
            </w:r>
            <w:proofErr w:type="spellStart"/>
            <w:r w:rsidRPr="00B0514A">
              <w:rPr>
                <w:rFonts w:ascii="Calibri" w:hAnsi="Calibri" w:cs="Times New Roman"/>
                <w:sz w:val="20"/>
                <w:szCs w:val="20"/>
              </w:rPr>
              <w:t>ImmunoResearch</w:t>
            </w:r>
            <w:proofErr w:type="spellEnd"/>
          </w:p>
        </w:tc>
        <w:tc>
          <w:tcPr>
            <w:tcW w:w="1785" w:type="dxa"/>
          </w:tcPr>
          <w:p w14:paraId="4F36188D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14:paraId="6958ADF7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1:500</w:t>
            </w:r>
          </w:p>
        </w:tc>
      </w:tr>
      <w:tr w:rsidR="00190D1A" w:rsidRPr="00B0514A" w14:paraId="1CC67A75" w14:textId="77777777" w:rsidTr="00637B5C">
        <w:tc>
          <w:tcPr>
            <w:tcW w:w="3850" w:type="dxa"/>
          </w:tcPr>
          <w:p w14:paraId="26E7D3E0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Alexa-594 goat anti-mouse IgM</w:t>
            </w:r>
          </w:p>
        </w:tc>
        <w:tc>
          <w:tcPr>
            <w:tcW w:w="2004" w:type="dxa"/>
          </w:tcPr>
          <w:p w14:paraId="26B7ED20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 xml:space="preserve">Jackson </w:t>
            </w:r>
            <w:proofErr w:type="spellStart"/>
            <w:r w:rsidRPr="00B0514A">
              <w:rPr>
                <w:rFonts w:ascii="Calibri" w:hAnsi="Calibri" w:cs="Times New Roman"/>
                <w:sz w:val="20"/>
                <w:szCs w:val="20"/>
              </w:rPr>
              <w:t>ImmunoResearch</w:t>
            </w:r>
            <w:proofErr w:type="spellEnd"/>
          </w:p>
        </w:tc>
        <w:tc>
          <w:tcPr>
            <w:tcW w:w="1785" w:type="dxa"/>
          </w:tcPr>
          <w:p w14:paraId="7910B9AA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14:paraId="11AFB52F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1:500</w:t>
            </w:r>
          </w:p>
        </w:tc>
      </w:tr>
      <w:tr w:rsidR="00190D1A" w:rsidRPr="00B0514A" w14:paraId="1A58AB05" w14:textId="77777777" w:rsidTr="00637B5C">
        <w:tc>
          <w:tcPr>
            <w:tcW w:w="9350" w:type="dxa"/>
            <w:gridSpan w:val="4"/>
            <w:shd w:val="clear" w:color="auto" w:fill="D9D9D9" w:themeFill="background1" w:themeFillShade="D9"/>
          </w:tcPr>
          <w:p w14:paraId="05549EB1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PLA, Primary Antibodies</w:t>
            </w:r>
          </w:p>
        </w:tc>
      </w:tr>
      <w:tr w:rsidR="00190D1A" w:rsidRPr="00B0514A" w14:paraId="62EB3833" w14:textId="77777777" w:rsidTr="00637B5C">
        <w:tc>
          <w:tcPr>
            <w:tcW w:w="3850" w:type="dxa"/>
          </w:tcPr>
          <w:p w14:paraId="56A59391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Mouse anti-FLAG, IgG1</w:t>
            </w:r>
          </w:p>
        </w:tc>
        <w:tc>
          <w:tcPr>
            <w:tcW w:w="2004" w:type="dxa"/>
          </w:tcPr>
          <w:p w14:paraId="291AF6B9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Sigma-Aldrich</w:t>
            </w:r>
          </w:p>
        </w:tc>
        <w:tc>
          <w:tcPr>
            <w:tcW w:w="1785" w:type="dxa"/>
          </w:tcPr>
          <w:p w14:paraId="0A77D0E8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F1804</w:t>
            </w:r>
          </w:p>
        </w:tc>
        <w:tc>
          <w:tcPr>
            <w:tcW w:w="1711" w:type="dxa"/>
          </w:tcPr>
          <w:p w14:paraId="31960283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1:1,000</w:t>
            </w:r>
          </w:p>
        </w:tc>
      </w:tr>
      <w:tr w:rsidR="00190D1A" w:rsidRPr="00B0514A" w14:paraId="3E71B329" w14:textId="77777777" w:rsidTr="00637B5C">
        <w:tc>
          <w:tcPr>
            <w:tcW w:w="3850" w:type="dxa"/>
          </w:tcPr>
          <w:p w14:paraId="74D7E9D8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Rabbit monoclonal anti-GFP, IgG</w:t>
            </w:r>
          </w:p>
        </w:tc>
        <w:tc>
          <w:tcPr>
            <w:tcW w:w="2004" w:type="dxa"/>
          </w:tcPr>
          <w:p w14:paraId="1A330433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Thermo-Fisher</w:t>
            </w:r>
          </w:p>
        </w:tc>
        <w:tc>
          <w:tcPr>
            <w:tcW w:w="1785" w:type="dxa"/>
          </w:tcPr>
          <w:p w14:paraId="3234CE67" w14:textId="77777777" w:rsidR="00190D1A" w:rsidRPr="00B0514A" w:rsidRDefault="00190D1A" w:rsidP="00637B5C">
            <w:pPr>
              <w:ind w:right="-120"/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G10362</w:t>
            </w:r>
          </w:p>
        </w:tc>
        <w:tc>
          <w:tcPr>
            <w:tcW w:w="1711" w:type="dxa"/>
          </w:tcPr>
          <w:p w14:paraId="2EDF0FE6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1:40,000</w:t>
            </w:r>
          </w:p>
        </w:tc>
      </w:tr>
      <w:tr w:rsidR="00190D1A" w:rsidRPr="00B0514A" w14:paraId="483E2E52" w14:textId="77777777" w:rsidTr="00637B5C">
        <w:tc>
          <w:tcPr>
            <w:tcW w:w="9350" w:type="dxa"/>
            <w:gridSpan w:val="4"/>
            <w:shd w:val="clear" w:color="auto" w:fill="D9D9D9" w:themeFill="background1" w:themeFillShade="D9"/>
          </w:tcPr>
          <w:p w14:paraId="2AF3061C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Western blotting, Primary Antibodies</w:t>
            </w:r>
          </w:p>
        </w:tc>
      </w:tr>
      <w:tr w:rsidR="00190D1A" w:rsidRPr="00B0514A" w14:paraId="044B1862" w14:textId="77777777" w:rsidTr="00637B5C">
        <w:tc>
          <w:tcPr>
            <w:tcW w:w="3850" w:type="dxa"/>
          </w:tcPr>
          <w:p w14:paraId="1483EAF1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Mouse anti-FLAG, IgG1</w:t>
            </w:r>
          </w:p>
        </w:tc>
        <w:tc>
          <w:tcPr>
            <w:tcW w:w="2004" w:type="dxa"/>
          </w:tcPr>
          <w:p w14:paraId="23D8C94A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Sigma-Aldrich</w:t>
            </w:r>
          </w:p>
        </w:tc>
        <w:tc>
          <w:tcPr>
            <w:tcW w:w="1785" w:type="dxa"/>
          </w:tcPr>
          <w:p w14:paraId="4EAED607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F1804</w:t>
            </w:r>
          </w:p>
        </w:tc>
        <w:tc>
          <w:tcPr>
            <w:tcW w:w="1711" w:type="dxa"/>
          </w:tcPr>
          <w:p w14:paraId="2455A296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1:1,000</w:t>
            </w:r>
          </w:p>
        </w:tc>
      </w:tr>
      <w:tr w:rsidR="00190D1A" w:rsidRPr="00B0514A" w14:paraId="42B7B21C" w14:textId="77777777" w:rsidTr="00637B5C">
        <w:tc>
          <w:tcPr>
            <w:tcW w:w="3850" w:type="dxa"/>
          </w:tcPr>
          <w:p w14:paraId="4FF30A71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Mouse anti-Tubulin DM1A</w:t>
            </w:r>
          </w:p>
        </w:tc>
        <w:tc>
          <w:tcPr>
            <w:tcW w:w="2004" w:type="dxa"/>
          </w:tcPr>
          <w:p w14:paraId="39E47CA6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Sigma-Aldrich</w:t>
            </w:r>
          </w:p>
        </w:tc>
        <w:tc>
          <w:tcPr>
            <w:tcW w:w="1785" w:type="dxa"/>
          </w:tcPr>
          <w:p w14:paraId="0D8EBFDA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T6199</w:t>
            </w:r>
          </w:p>
        </w:tc>
        <w:tc>
          <w:tcPr>
            <w:tcW w:w="1711" w:type="dxa"/>
          </w:tcPr>
          <w:p w14:paraId="3862D5FA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1:300</w:t>
            </w:r>
          </w:p>
        </w:tc>
      </w:tr>
      <w:tr w:rsidR="00190D1A" w:rsidRPr="00B0514A" w14:paraId="64271BE6" w14:textId="77777777" w:rsidTr="00637B5C">
        <w:tc>
          <w:tcPr>
            <w:tcW w:w="3850" w:type="dxa"/>
          </w:tcPr>
          <w:p w14:paraId="1C38B14B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Rabbit anti-FBF-1, IgG</w:t>
            </w:r>
          </w:p>
        </w:tc>
        <w:tc>
          <w:tcPr>
            <w:tcW w:w="2004" w:type="dxa"/>
          </w:tcPr>
          <w:p w14:paraId="45F64AE9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fldChar w:fldCharType="begin"/>
            </w:r>
            <w:r>
              <w:rPr>
                <w:rFonts w:ascii="Calibri" w:hAnsi="Calibri" w:cs="Times New Roman"/>
                <w:sz w:val="20"/>
                <w:szCs w:val="20"/>
              </w:rPr>
              <w:instrText xml:space="preserve"> ADDIN EN.CITE &lt;EndNote&gt;&lt;Cite&gt;&lt;Author&gt;Voronina&lt;/Author&gt;&lt;Year&gt;2012&lt;/Year&gt;&lt;IDText&gt;The P granule component PGL-1 promotes the localization and silencing activity of the PUF protein FBF-2 in germline stem cells&lt;/IDText&gt;&lt;DisplayText&gt;(Voronina et al., 2012)&lt;/DisplayText&gt;&lt;record&gt;&lt;dates&gt;&lt;pub-dates&gt;&lt;date&gt;Oct&lt;/date&gt;&lt;/pub-dates&gt;&lt;year&gt;2012&lt;/year&gt;&lt;/dates&gt;&lt;keywords&gt;&lt;keyword&gt;Animals&lt;/keyword&gt;&lt;keyword&gt;Binding Sites&lt;/keyword&gt;&lt;keyword&gt;Caenorhabditis elegans&lt;/keyword&gt;&lt;keyword&gt;Caenorhabditis elegans Proteins&lt;/keyword&gt;&lt;keyword&gt;Embryonic Stem Cells&lt;/keyword&gt;&lt;keyword&gt;Gene Expression Regulation, Developmental&lt;/keyword&gt;&lt;keyword&gt;Germ Cells&lt;/keyword&gt;&lt;keyword&gt;Meiosis&lt;/keyword&gt;&lt;keyword&gt;RNA Interference&lt;/keyword&gt;&lt;keyword&gt;RNA, Messenger&lt;/keyword&gt;&lt;keyword&gt;RNA, Small Interfering&lt;/keyword&gt;&lt;keyword&gt;RNA-Binding Proteins&lt;/keyword&gt;&lt;/keywords&gt;&lt;urls&gt;&lt;related-urls&gt;&lt;url&gt;https://www.ncbi.nlm.nih.gov/pubmed/22991439&lt;/url&gt;&lt;/related-urls&gt;&lt;/urls&gt;&lt;isbn&gt;1477-9129&lt;/isbn&gt;&lt;custom2&gt;PMC3445306&lt;/custom2&gt;&lt;titles&gt;&lt;title&gt;The P granule component PGL-1 promotes the localization and silencing activity of the PUF protein FBF-2 in germline stem cells&lt;/title&gt;&lt;secondary-title&gt;Development&lt;/secondary-title&gt;&lt;/titles&gt;&lt;pages&gt;3732-40&lt;/pages&gt;&lt;number&gt;20&lt;/number&gt;&lt;contributors&gt;&lt;authors&gt;&lt;author&gt;Voronina, E.&lt;/author&gt;&lt;author&gt;Paix, A.&lt;/author&gt;&lt;author&gt;Seydoux, G.&lt;/author&gt;&lt;/authors&gt;&lt;/contributors&gt;&lt;language&gt;eng&lt;/language&gt;&lt;added-date format="utc"&gt;1563981819&lt;/added-date&gt;&lt;ref-type name="Journal Article"&gt;17&lt;/ref-type&gt;&lt;rec-number&gt;71&lt;/rec-number&gt;&lt;last-updated-date format="utc"&gt;1563981819&lt;/last-updated-date&gt;&lt;accession-num&gt;22991439&lt;/accession-num&gt;&lt;electronic-resource-num&gt;10.1242/dev.083980&lt;/electronic-resource-num&gt;&lt;volume&gt;139&lt;/volume&gt;&lt;/record&gt;&lt;/Cite&gt;&lt;/EndNote&gt;</w:instrText>
            </w:r>
            <w:r w:rsidRPr="00B0514A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hAnsi="Calibri" w:cs="Times New Roman"/>
                <w:noProof/>
                <w:sz w:val="20"/>
                <w:szCs w:val="20"/>
              </w:rPr>
              <w:t>(Voronina et al., 2012)</w:t>
            </w:r>
            <w:r w:rsidRPr="00B0514A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</w:tcPr>
          <w:p w14:paraId="14A49D1F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PA2388</w:t>
            </w:r>
          </w:p>
        </w:tc>
        <w:tc>
          <w:tcPr>
            <w:tcW w:w="1711" w:type="dxa"/>
          </w:tcPr>
          <w:p w14:paraId="0A2C64E3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 xml:space="preserve">5.2 </w:t>
            </w:r>
            <w:proofErr w:type="spellStart"/>
            <w:r w:rsidRPr="00B0514A">
              <w:rPr>
                <w:rFonts w:ascii="Calibri" w:hAnsi="Calibri" w:cs="Times New Roman"/>
                <w:sz w:val="20"/>
                <w:szCs w:val="20"/>
              </w:rPr>
              <w:t>μg</w:t>
            </w:r>
            <w:proofErr w:type="spellEnd"/>
            <w:r w:rsidRPr="00B0514A">
              <w:rPr>
                <w:rFonts w:ascii="Calibri" w:hAnsi="Calibri" w:cs="Times New Roman"/>
                <w:sz w:val="20"/>
                <w:szCs w:val="20"/>
              </w:rPr>
              <w:t>/ml</w:t>
            </w:r>
          </w:p>
        </w:tc>
      </w:tr>
      <w:tr w:rsidR="00190D1A" w:rsidRPr="00B0514A" w14:paraId="2AB2F4CF" w14:textId="77777777" w:rsidTr="00637B5C">
        <w:tc>
          <w:tcPr>
            <w:tcW w:w="9350" w:type="dxa"/>
            <w:gridSpan w:val="4"/>
            <w:shd w:val="clear" w:color="auto" w:fill="D9D9D9" w:themeFill="background1" w:themeFillShade="D9"/>
          </w:tcPr>
          <w:p w14:paraId="4B6632AD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Western blotting, Secondary Antibodies</w:t>
            </w:r>
          </w:p>
        </w:tc>
      </w:tr>
      <w:tr w:rsidR="00190D1A" w:rsidRPr="00B0514A" w14:paraId="235E67CC" w14:textId="77777777" w:rsidTr="00637B5C">
        <w:tc>
          <w:tcPr>
            <w:tcW w:w="3850" w:type="dxa"/>
          </w:tcPr>
          <w:p w14:paraId="2E667A7F" w14:textId="77777777" w:rsidR="00190D1A" w:rsidRPr="00B0514A" w:rsidRDefault="00190D1A" w:rsidP="00637B5C">
            <w:pPr>
              <w:tabs>
                <w:tab w:val="left" w:pos="1052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HRP anti-mouse</w:t>
            </w:r>
          </w:p>
        </w:tc>
        <w:tc>
          <w:tcPr>
            <w:tcW w:w="2004" w:type="dxa"/>
          </w:tcPr>
          <w:p w14:paraId="2C76370D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 xml:space="preserve">Jackson </w:t>
            </w:r>
            <w:proofErr w:type="spellStart"/>
            <w:r w:rsidRPr="00B0514A">
              <w:rPr>
                <w:rFonts w:ascii="Calibri" w:hAnsi="Calibri" w:cs="Times New Roman"/>
                <w:sz w:val="20"/>
                <w:szCs w:val="20"/>
              </w:rPr>
              <w:t>ImmunoResearch</w:t>
            </w:r>
            <w:proofErr w:type="spellEnd"/>
          </w:p>
        </w:tc>
        <w:tc>
          <w:tcPr>
            <w:tcW w:w="1785" w:type="dxa"/>
          </w:tcPr>
          <w:p w14:paraId="4E2AAA30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14:paraId="55CFE3AE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1:5000</w:t>
            </w:r>
          </w:p>
        </w:tc>
      </w:tr>
      <w:tr w:rsidR="00190D1A" w:rsidRPr="00B0514A" w14:paraId="4D4D9C67" w14:textId="77777777" w:rsidTr="00637B5C">
        <w:tc>
          <w:tcPr>
            <w:tcW w:w="3850" w:type="dxa"/>
          </w:tcPr>
          <w:p w14:paraId="77C0D1ED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lastRenderedPageBreak/>
              <w:t>HRP anti-rabbit</w:t>
            </w:r>
          </w:p>
        </w:tc>
        <w:tc>
          <w:tcPr>
            <w:tcW w:w="2004" w:type="dxa"/>
          </w:tcPr>
          <w:p w14:paraId="3B42629D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 xml:space="preserve">Jackson </w:t>
            </w:r>
            <w:proofErr w:type="spellStart"/>
            <w:r w:rsidRPr="00B0514A">
              <w:rPr>
                <w:rFonts w:ascii="Calibri" w:hAnsi="Calibri" w:cs="Times New Roman"/>
                <w:sz w:val="20"/>
                <w:szCs w:val="20"/>
              </w:rPr>
              <w:t>ImmunoResearch</w:t>
            </w:r>
            <w:proofErr w:type="spellEnd"/>
          </w:p>
        </w:tc>
        <w:tc>
          <w:tcPr>
            <w:tcW w:w="1785" w:type="dxa"/>
          </w:tcPr>
          <w:p w14:paraId="7CCE0210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14:paraId="063228A3" w14:textId="77777777" w:rsidR="00190D1A" w:rsidRPr="00B0514A" w:rsidRDefault="00190D1A" w:rsidP="00637B5C">
            <w:pPr>
              <w:rPr>
                <w:rFonts w:ascii="Calibri" w:hAnsi="Calibri" w:cs="Times New Roman"/>
                <w:sz w:val="20"/>
                <w:szCs w:val="20"/>
              </w:rPr>
            </w:pPr>
            <w:r w:rsidRPr="00B0514A">
              <w:rPr>
                <w:rFonts w:ascii="Calibri" w:hAnsi="Calibri" w:cs="Times New Roman"/>
                <w:sz w:val="20"/>
                <w:szCs w:val="20"/>
              </w:rPr>
              <w:t>1:5000</w:t>
            </w:r>
          </w:p>
        </w:tc>
      </w:tr>
    </w:tbl>
    <w:p w14:paraId="15667F0E" w14:textId="77777777" w:rsidR="00190D1A" w:rsidRDefault="00190D1A"/>
    <w:sectPr w:rsidR="00190D1A" w:rsidSect="00D15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1A"/>
    <w:rsid w:val="00190D1A"/>
    <w:rsid w:val="006B11E7"/>
    <w:rsid w:val="00D1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4E2B07"/>
  <w15:chartTrackingRefBased/>
  <w15:docId w15:val="{608DF56C-F6A2-9444-9130-2DB1F329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D1A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D1A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Voronina</dc:creator>
  <cp:keywords/>
  <dc:description/>
  <cp:lastModifiedBy>Ekaterina Voronina</cp:lastModifiedBy>
  <cp:revision>1</cp:revision>
  <dcterms:created xsi:type="dcterms:W3CDTF">2020-08-03T22:17:00Z</dcterms:created>
  <dcterms:modified xsi:type="dcterms:W3CDTF">2020-08-03T22:18:00Z</dcterms:modified>
</cp:coreProperties>
</file>