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455" w:type="dxa"/>
        <w:tblLayout w:type="fixed"/>
        <w:tblLook w:val="04A0" w:firstRow="1" w:lastRow="0" w:firstColumn="1" w:lastColumn="0" w:noHBand="0" w:noVBand="1"/>
      </w:tblPr>
      <w:tblGrid>
        <w:gridCol w:w="2155"/>
        <w:gridCol w:w="2160"/>
        <w:gridCol w:w="1980"/>
        <w:gridCol w:w="2160"/>
      </w:tblGrid>
      <w:tr w:rsidR="00B04B27" w:rsidRPr="002533C4" w14:paraId="471DE795" w14:textId="77777777" w:rsidTr="00F0011F">
        <w:trPr>
          <w:trHeight w:val="350"/>
        </w:trPr>
        <w:tc>
          <w:tcPr>
            <w:tcW w:w="2155" w:type="dxa"/>
          </w:tcPr>
          <w:p w14:paraId="4218E444" w14:textId="77777777" w:rsidR="00B04B27" w:rsidRPr="002533C4" w:rsidRDefault="00B04B27" w:rsidP="002717CA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Observed data</w:t>
            </w:r>
          </w:p>
        </w:tc>
        <w:tc>
          <w:tcPr>
            <w:tcW w:w="2160" w:type="dxa"/>
          </w:tcPr>
          <w:p w14:paraId="4FF9CD02" w14:textId="77777777" w:rsidR="00B04B27" w:rsidRDefault="00B04B27" w:rsidP="002717CA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 xml:space="preserve">Carb </w:t>
            </w:r>
            <w:proofErr w:type="spellStart"/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>coeff</w:t>
            </w:r>
            <w:proofErr w:type="spellEnd"/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 xml:space="preserve">. </w:t>
            </w:r>
          </w:p>
          <w:p w14:paraId="3D3AAA6E" w14:textId="77777777" w:rsidR="00716A5E" w:rsidRPr="00716A5E" w:rsidRDefault="00716A5E" w:rsidP="002717CA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716A5E">
              <w:rPr>
                <w:rFonts w:ascii="Helvetica" w:hAnsi="Helvetica"/>
                <w:b/>
                <w:bCs/>
                <w:sz w:val="18"/>
                <w:szCs w:val="18"/>
              </w:rPr>
              <w:t>(</w:t>
            </w:r>
            <w:r w:rsidRPr="00716A5E">
              <w:rPr>
                <w:rFonts w:ascii="Helvetica" w:hAnsi="Helvetica"/>
                <w:b/>
                <w:bCs/>
                <w:sz w:val="18"/>
                <w:szCs w:val="18"/>
              </w:rPr>
              <w:sym w:font="Symbol" w:char="F0B1"/>
            </w:r>
            <w:r w:rsidRPr="00716A5E">
              <w:rPr>
                <w:rFonts w:ascii="Helvetica" w:hAnsi="Helvetica"/>
                <w:b/>
                <w:bCs/>
                <w:sz w:val="18"/>
                <w:szCs w:val="18"/>
              </w:rPr>
              <w:t xml:space="preserve"> standard error)</w:t>
            </w:r>
          </w:p>
        </w:tc>
        <w:tc>
          <w:tcPr>
            <w:tcW w:w="1980" w:type="dxa"/>
          </w:tcPr>
          <w:p w14:paraId="0EA91C99" w14:textId="77777777" w:rsidR="00B04B27" w:rsidRDefault="00B04B27" w:rsidP="002717CA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 xml:space="preserve">Saline </w:t>
            </w:r>
            <w:proofErr w:type="spellStart"/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>coeff</w:t>
            </w:r>
            <w:proofErr w:type="spellEnd"/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>.</w:t>
            </w:r>
          </w:p>
          <w:p w14:paraId="08BADCDF" w14:textId="77777777" w:rsidR="00716A5E" w:rsidRPr="002533C4" w:rsidRDefault="00716A5E" w:rsidP="002717CA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716A5E">
              <w:rPr>
                <w:rFonts w:ascii="Helvetica" w:hAnsi="Helvetica"/>
                <w:b/>
                <w:bCs/>
                <w:sz w:val="18"/>
                <w:szCs w:val="18"/>
              </w:rPr>
              <w:t>(</w:t>
            </w:r>
            <w:r w:rsidRPr="00716A5E">
              <w:rPr>
                <w:rFonts w:ascii="Helvetica" w:hAnsi="Helvetica"/>
                <w:b/>
                <w:bCs/>
                <w:sz w:val="18"/>
                <w:szCs w:val="18"/>
              </w:rPr>
              <w:sym w:font="Symbol" w:char="F0B1"/>
            </w:r>
            <w:r w:rsidRPr="00716A5E">
              <w:rPr>
                <w:rFonts w:ascii="Helvetica" w:hAnsi="Helvetica"/>
                <w:b/>
                <w:bCs/>
                <w:sz w:val="18"/>
                <w:szCs w:val="18"/>
              </w:rPr>
              <w:t xml:space="preserve"> standard error)</w:t>
            </w:r>
          </w:p>
        </w:tc>
        <w:tc>
          <w:tcPr>
            <w:tcW w:w="2160" w:type="dxa"/>
          </w:tcPr>
          <w:p w14:paraId="03B80ED6" w14:textId="77777777" w:rsidR="00B04B27" w:rsidRPr="002533C4" w:rsidRDefault="00B04B27" w:rsidP="002717CA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Carb vs. Saline</w:t>
            </w:r>
          </w:p>
        </w:tc>
      </w:tr>
      <w:tr w:rsidR="00B04B27" w:rsidRPr="002533C4" w14:paraId="269C13F7" w14:textId="77777777" w:rsidTr="00F0011F">
        <w:tc>
          <w:tcPr>
            <w:tcW w:w="2155" w:type="dxa"/>
          </w:tcPr>
          <w:p w14:paraId="614A0FAD" w14:textId="77777777" w:rsidR="00B04B27" w:rsidRPr="002533C4" w:rsidRDefault="00B04B27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Normalized firing rates</w:t>
            </w:r>
            <w:r w:rsidR="00F0011F">
              <w:rPr>
                <w:rFonts w:ascii="Helvetica" w:hAnsi="Helvetica"/>
                <w:sz w:val="18"/>
                <w:szCs w:val="18"/>
              </w:rPr>
              <w:t xml:space="preserve"> (1 per multi-unit site)</w:t>
            </w:r>
          </w:p>
        </w:tc>
        <w:tc>
          <w:tcPr>
            <w:tcW w:w="2160" w:type="dxa"/>
          </w:tcPr>
          <w:p w14:paraId="714843CD" w14:textId="77777777" w:rsidR="00B04B27" w:rsidRPr="002533C4" w:rsidRDefault="00B04B27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0.0</w:t>
            </w:r>
            <w:r w:rsidR="003214FD">
              <w:rPr>
                <w:rFonts w:ascii="Helvetica" w:hAnsi="Helvetica"/>
                <w:sz w:val="18"/>
                <w:szCs w:val="18"/>
              </w:rPr>
              <w:t>99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</w:t>
            </w:r>
            <w:r w:rsidR="003214FD">
              <w:rPr>
                <w:rFonts w:ascii="Helvetica" w:hAnsi="Helvetica"/>
                <w:sz w:val="18"/>
                <w:szCs w:val="18"/>
              </w:rPr>
              <w:t>31</w:t>
            </w:r>
          </w:p>
        </w:tc>
        <w:tc>
          <w:tcPr>
            <w:tcW w:w="1980" w:type="dxa"/>
          </w:tcPr>
          <w:p w14:paraId="7C5DF526" w14:textId="77777777" w:rsidR="00B04B27" w:rsidRPr="002533C4" w:rsidRDefault="001B58D5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-0.027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0.037</w:t>
            </w:r>
          </w:p>
        </w:tc>
        <w:tc>
          <w:tcPr>
            <w:tcW w:w="2160" w:type="dxa"/>
          </w:tcPr>
          <w:p w14:paraId="3B929F60" w14:textId="77777777" w:rsidR="003214FD" w:rsidRDefault="001B58D5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 = 0.0090;</w:t>
            </w:r>
            <w:r w:rsidR="003214FD">
              <w:rPr>
                <w:rFonts w:ascii="Helvetica" w:hAnsi="Helvetica"/>
                <w:sz w:val="18"/>
                <w:szCs w:val="18"/>
              </w:rPr>
              <w:t xml:space="preserve"> </w:t>
            </w:r>
          </w:p>
          <w:p w14:paraId="02F9075C" w14:textId="77777777" w:rsidR="001B58D5" w:rsidRPr="002533C4" w:rsidRDefault="001B58D5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n = 44</w:t>
            </w:r>
          </w:p>
        </w:tc>
      </w:tr>
    </w:tbl>
    <w:p w14:paraId="4CB69F68" w14:textId="77777777" w:rsidR="00ED4A06" w:rsidRPr="002533C4" w:rsidRDefault="00ED4A06">
      <w:pPr>
        <w:rPr>
          <w:rFonts w:ascii="Helvetica" w:hAnsi="Helvetica"/>
          <w:bCs/>
          <w:sz w:val="18"/>
          <w:szCs w:val="18"/>
          <w:u w:val="single"/>
        </w:rPr>
      </w:pPr>
    </w:p>
    <w:p w14:paraId="150E3DDD" w14:textId="4F7FBDA7" w:rsidR="00682D57" w:rsidRPr="00BB5F53" w:rsidRDefault="004F641B">
      <w:pPr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Figure 4</w:t>
      </w:r>
      <w:r>
        <w:rPr>
          <w:rFonts w:ascii="Helvetica" w:hAnsi="Helvetica"/>
          <w:b/>
          <w:sz w:val="20"/>
          <w:szCs w:val="20"/>
        </w:rPr>
        <w:sym w:font="Symbol" w:char="F0BE"/>
      </w:r>
      <w:r>
        <w:rPr>
          <w:rFonts w:ascii="Helvetica" w:hAnsi="Helvetica"/>
          <w:b/>
          <w:sz w:val="20"/>
          <w:szCs w:val="20"/>
        </w:rPr>
        <w:t>source data 1</w:t>
      </w:r>
      <w:r w:rsidR="00764E7B" w:rsidRPr="00BB5F53">
        <w:rPr>
          <w:rFonts w:ascii="Helvetica" w:hAnsi="Helvetica"/>
          <w:b/>
          <w:sz w:val="20"/>
          <w:szCs w:val="20"/>
        </w:rPr>
        <w:t>. Linear mixed effects model analysis of</w:t>
      </w:r>
      <w:r w:rsidR="00CC7219">
        <w:rPr>
          <w:rFonts w:ascii="Helvetica" w:hAnsi="Helvetica"/>
          <w:b/>
          <w:sz w:val="20"/>
          <w:szCs w:val="20"/>
        </w:rPr>
        <w:t xml:space="preserve"> multi-unit firing rate changes following </w:t>
      </w:r>
      <w:proofErr w:type="spellStart"/>
      <w:r w:rsidR="00CC7219">
        <w:rPr>
          <w:rFonts w:ascii="Helvetica" w:hAnsi="Helvetica"/>
          <w:b/>
          <w:sz w:val="20"/>
          <w:szCs w:val="20"/>
        </w:rPr>
        <w:t>microdialysis</w:t>
      </w:r>
      <w:proofErr w:type="spellEnd"/>
      <w:r w:rsidR="00CC7219">
        <w:rPr>
          <w:rFonts w:ascii="Helvetica" w:hAnsi="Helvetica"/>
          <w:b/>
          <w:sz w:val="20"/>
          <w:szCs w:val="20"/>
        </w:rPr>
        <w:t xml:space="preserve"> of carbachol or saline</w:t>
      </w:r>
      <w:r w:rsidR="00764E7B" w:rsidRPr="00BB5F53">
        <w:rPr>
          <w:rFonts w:ascii="Helvetica" w:hAnsi="Helvetica"/>
          <w:bCs/>
          <w:sz w:val="20"/>
          <w:szCs w:val="20"/>
        </w:rPr>
        <w:t>.</w:t>
      </w:r>
      <w:r>
        <w:rPr>
          <w:rFonts w:ascii="Helvetica" w:hAnsi="Helvetica"/>
          <w:bCs/>
          <w:sz w:val="20"/>
          <w:szCs w:val="20"/>
        </w:rPr>
        <w:t xml:space="preserve"> </w:t>
      </w:r>
      <w:r w:rsidR="007721F6">
        <w:rPr>
          <w:rFonts w:ascii="Helvetica" w:hAnsi="Helvetica"/>
          <w:bCs/>
          <w:sz w:val="20"/>
          <w:szCs w:val="20"/>
        </w:rPr>
        <w:t>We modelled normalized firing rates (drug/baseline) for each multi-unit recording site as the sum of a fixed effect of the drug condition and a random effect grouped by bird identity.</w:t>
      </w:r>
      <w:r w:rsidR="00205C98">
        <w:rPr>
          <w:rFonts w:ascii="Helvetica" w:hAnsi="Helvetica"/>
          <w:bCs/>
          <w:sz w:val="20"/>
          <w:szCs w:val="20"/>
        </w:rPr>
        <w:t xml:space="preserve"> </w:t>
      </w:r>
      <w:r w:rsidR="00F0011F">
        <w:rPr>
          <w:rFonts w:ascii="Helvetica" w:hAnsi="Helvetica"/>
          <w:bCs/>
          <w:sz w:val="20"/>
          <w:szCs w:val="20"/>
        </w:rPr>
        <w:t>For a given multi-unit site, we calculated firing rates aligned to the onset of each syllable (100ms window centered on syllable onset), then averaged these measurements across syllables.</w:t>
      </w:r>
      <w:r w:rsidR="00607F49">
        <w:rPr>
          <w:rFonts w:ascii="Helvetica" w:hAnsi="Helvetica"/>
          <w:bCs/>
          <w:sz w:val="20"/>
          <w:szCs w:val="20"/>
        </w:rPr>
        <w:t xml:space="preserve"> Statistical significance was assessed by a two-sided permutation test, similar to the analysis described in </w:t>
      </w:r>
      <w:r w:rsidR="009D7B28">
        <w:rPr>
          <w:rFonts w:ascii="Helvetica" w:hAnsi="Helvetica"/>
          <w:bCs/>
          <w:sz w:val="20"/>
          <w:szCs w:val="20"/>
        </w:rPr>
        <w:t>Figure 1</w:t>
      </w:r>
      <w:r w:rsidR="009D7B28">
        <w:rPr>
          <w:rFonts w:ascii="Helvetica" w:hAnsi="Helvetica"/>
          <w:bCs/>
          <w:sz w:val="20"/>
          <w:szCs w:val="20"/>
        </w:rPr>
        <w:sym w:font="Symbol" w:char="F0BE"/>
      </w:r>
      <w:r w:rsidR="009D7B28">
        <w:rPr>
          <w:rFonts w:ascii="Helvetica" w:hAnsi="Helvetica"/>
          <w:bCs/>
          <w:sz w:val="20"/>
          <w:szCs w:val="20"/>
        </w:rPr>
        <w:t>source data 1</w:t>
      </w:r>
      <w:r w:rsidR="008865BA">
        <w:rPr>
          <w:rFonts w:ascii="Helvetica" w:hAnsi="Helvetica"/>
          <w:bCs/>
          <w:sz w:val="20"/>
          <w:szCs w:val="20"/>
        </w:rPr>
        <w:t>.</w:t>
      </w:r>
      <w:bookmarkStart w:id="0" w:name="_GoBack"/>
      <w:bookmarkEnd w:id="0"/>
    </w:p>
    <w:sectPr w:rsidR="00682D57" w:rsidRPr="00BB5F53" w:rsidSect="00320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7F"/>
    <w:rsid w:val="00011285"/>
    <w:rsid w:val="00114CCE"/>
    <w:rsid w:val="00162E72"/>
    <w:rsid w:val="001B58D5"/>
    <w:rsid w:val="00205C98"/>
    <w:rsid w:val="002533C4"/>
    <w:rsid w:val="002717CA"/>
    <w:rsid w:val="00277C85"/>
    <w:rsid w:val="002A06F8"/>
    <w:rsid w:val="002D389B"/>
    <w:rsid w:val="00306F4E"/>
    <w:rsid w:val="0032096A"/>
    <w:rsid w:val="003214FD"/>
    <w:rsid w:val="00344603"/>
    <w:rsid w:val="00380E29"/>
    <w:rsid w:val="00406C22"/>
    <w:rsid w:val="004540D5"/>
    <w:rsid w:val="00460A86"/>
    <w:rsid w:val="004B2E6C"/>
    <w:rsid w:val="004F641B"/>
    <w:rsid w:val="0050706A"/>
    <w:rsid w:val="00537F05"/>
    <w:rsid w:val="0056347F"/>
    <w:rsid w:val="005857D4"/>
    <w:rsid w:val="00607F49"/>
    <w:rsid w:val="00682D57"/>
    <w:rsid w:val="006E5858"/>
    <w:rsid w:val="00716A5E"/>
    <w:rsid w:val="00744D4D"/>
    <w:rsid w:val="00764E7B"/>
    <w:rsid w:val="007721F6"/>
    <w:rsid w:val="007D1762"/>
    <w:rsid w:val="008170C8"/>
    <w:rsid w:val="008276B6"/>
    <w:rsid w:val="008865BA"/>
    <w:rsid w:val="008867BE"/>
    <w:rsid w:val="00891049"/>
    <w:rsid w:val="008B7618"/>
    <w:rsid w:val="008F5BC1"/>
    <w:rsid w:val="008F7F28"/>
    <w:rsid w:val="00963350"/>
    <w:rsid w:val="009C02C4"/>
    <w:rsid w:val="009D7B28"/>
    <w:rsid w:val="00A347CD"/>
    <w:rsid w:val="00A86E40"/>
    <w:rsid w:val="00AE2E41"/>
    <w:rsid w:val="00B04B27"/>
    <w:rsid w:val="00B24DF5"/>
    <w:rsid w:val="00BB303B"/>
    <w:rsid w:val="00BB5F53"/>
    <w:rsid w:val="00C808EE"/>
    <w:rsid w:val="00CC7219"/>
    <w:rsid w:val="00D608CC"/>
    <w:rsid w:val="00D91D79"/>
    <w:rsid w:val="00DB30CB"/>
    <w:rsid w:val="00DB44F1"/>
    <w:rsid w:val="00DF22FE"/>
    <w:rsid w:val="00E05354"/>
    <w:rsid w:val="00E21B30"/>
    <w:rsid w:val="00E40A47"/>
    <w:rsid w:val="00E7513C"/>
    <w:rsid w:val="00EA529D"/>
    <w:rsid w:val="00ED4A06"/>
    <w:rsid w:val="00F0011F"/>
    <w:rsid w:val="00F43AAF"/>
    <w:rsid w:val="00F81447"/>
    <w:rsid w:val="00F820EE"/>
    <w:rsid w:val="00FD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CBA50"/>
  <w15:chartTrackingRefBased/>
  <w15:docId w15:val="{5115C3E3-E548-7C46-B222-E6D7C53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0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Jaffe</dc:creator>
  <cp:keywords/>
  <dc:description/>
  <cp:lastModifiedBy>Paul Jaffe</cp:lastModifiedBy>
  <cp:revision>30</cp:revision>
  <dcterms:created xsi:type="dcterms:W3CDTF">2020-01-10T00:02:00Z</dcterms:created>
  <dcterms:modified xsi:type="dcterms:W3CDTF">2020-03-05T21:01:00Z</dcterms:modified>
</cp:coreProperties>
</file>